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2AB" w:rsidRPr="00D64B33" w:rsidRDefault="006372AB" w:rsidP="006372AB">
      <w:pPr>
        <w:jc w:val="center"/>
        <w:rPr>
          <w:rFonts w:ascii="Arial" w:hAnsi="Arial" w:cs="Arial"/>
          <w:b/>
          <w:bCs/>
          <w:sz w:val="28"/>
          <w:szCs w:val="28"/>
        </w:rPr>
      </w:pPr>
      <w:r w:rsidRPr="00D64B33">
        <w:rPr>
          <w:rFonts w:ascii="Arial" w:hAnsi="Arial" w:cs="Arial"/>
          <w:b/>
          <w:bCs/>
          <w:sz w:val="28"/>
          <w:szCs w:val="28"/>
        </w:rPr>
        <w:t xml:space="preserve">COVID-19 </w:t>
      </w:r>
      <w:r w:rsidRPr="00D64B33">
        <w:rPr>
          <w:rFonts w:ascii="Arial" w:hAnsi="Arial" w:cs="Arial"/>
          <w:b/>
          <w:bCs/>
          <w:sz w:val="28"/>
          <w:szCs w:val="28"/>
        </w:rPr>
        <w:t>u</w:t>
      </w:r>
      <w:r w:rsidRPr="00D64B33">
        <w:rPr>
          <w:rFonts w:ascii="Arial" w:hAnsi="Arial" w:cs="Arial"/>
          <w:b/>
          <w:bCs/>
          <w:sz w:val="28"/>
          <w:szCs w:val="28"/>
        </w:rPr>
        <w:t xml:space="preserve">nd </w:t>
      </w:r>
      <w:r w:rsidRPr="00D64B33">
        <w:rPr>
          <w:rFonts w:ascii="Arial" w:hAnsi="Arial" w:cs="Arial"/>
          <w:b/>
          <w:bCs/>
          <w:sz w:val="28"/>
          <w:szCs w:val="28"/>
        </w:rPr>
        <w:t xml:space="preserve">Menschen mit </w:t>
      </w:r>
      <w:r w:rsidRPr="00D64B33">
        <w:rPr>
          <w:rFonts w:ascii="Arial" w:hAnsi="Arial" w:cs="Arial"/>
          <w:b/>
          <w:bCs/>
          <w:sz w:val="28"/>
          <w:szCs w:val="28"/>
        </w:rPr>
        <w:t>neuromus</w:t>
      </w:r>
      <w:r w:rsidRPr="00D64B33">
        <w:rPr>
          <w:rFonts w:ascii="Arial" w:hAnsi="Arial" w:cs="Arial"/>
          <w:b/>
          <w:bCs/>
          <w:sz w:val="28"/>
          <w:szCs w:val="28"/>
        </w:rPr>
        <w:t>k</w:t>
      </w:r>
      <w:r w:rsidRPr="00D64B33">
        <w:rPr>
          <w:rFonts w:ascii="Arial" w:hAnsi="Arial" w:cs="Arial"/>
          <w:b/>
          <w:bCs/>
          <w:sz w:val="28"/>
          <w:szCs w:val="28"/>
        </w:rPr>
        <w:t>ul</w:t>
      </w:r>
      <w:r w:rsidRPr="00D64B33">
        <w:rPr>
          <w:rFonts w:ascii="Arial" w:hAnsi="Arial" w:cs="Arial"/>
          <w:b/>
          <w:bCs/>
          <w:sz w:val="28"/>
          <w:szCs w:val="28"/>
        </w:rPr>
        <w:t>ä</w:t>
      </w:r>
      <w:r w:rsidRPr="00D64B33">
        <w:rPr>
          <w:rFonts w:ascii="Arial" w:hAnsi="Arial" w:cs="Arial"/>
          <w:b/>
          <w:bCs/>
          <w:sz w:val="28"/>
          <w:szCs w:val="28"/>
        </w:rPr>
        <w:t>r</w:t>
      </w:r>
      <w:r w:rsidRPr="00D64B33">
        <w:rPr>
          <w:rFonts w:ascii="Arial" w:hAnsi="Arial" w:cs="Arial"/>
          <w:b/>
          <w:bCs/>
          <w:sz w:val="28"/>
          <w:szCs w:val="28"/>
        </w:rPr>
        <w:t>en Erkrankungen</w:t>
      </w:r>
    </w:p>
    <w:p w:rsidR="006372AB" w:rsidRPr="00D64B33" w:rsidRDefault="006372AB" w:rsidP="006372AB">
      <w:pPr>
        <w:jc w:val="center"/>
        <w:rPr>
          <w:rFonts w:ascii="Arial" w:hAnsi="Arial" w:cs="Arial"/>
          <w:b/>
          <w:bCs/>
          <w:i/>
          <w:iCs/>
          <w:sz w:val="24"/>
          <w:szCs w:val="24"/>
        </w:rPr>
      </w:pPr>
      <w:r w:rsidRPr="00D64B33">
        <w:rPr>
          <w:rFonts w:ascii="Arial" w:hAnsi="Arial" w:cs="Arial"/>
          <w:b/>
          <w:bCs/>
          <w:sz w:val="28"/>
          <w:szCs w:val="28"/>
        </w:rPr>
        <w:t xml:space="preserve">Empfehlungen der </w:t>
      </w:r>
      <w:r w:rsidRPr="00D64B33">
        <w:rPr>
          <w:rFonts w:ascii="Arial" w:hAnsi="Arial" w:cs="Arial"/>
          <w:b/>
          <w:bCs/>
          <w:sz w:val="28"/>
          <w:szCs w:val="28"/>
        </w:rPr>
        <w:t xml:space="preserve">World Muscle Society </w:t>
      </w:r>
      <w:r w:rsidRPr="00D64B33">
        <w:rPr>
          <w:rFonts w:ascii="Arial" w:hAnsi="Arial" w:cs="Arial"/>
          <w:b/>
          <w:bCs/>
          <w:i/>
          <w:iCs/>
          <w:sz w:val="24"/>
          <w:szCs w:val="24"/>
        </w:rPr>
        <w:t xml:space="preserve"> </w:t>
      </w:r>
      <w:r w:rsidRPr="00D64B33">
        <w:rPr>
          <w:rFonts w:ascii="Arial" w:hAnsi="Arial" w:cs="Arial"/>
          <w:b/>
          <w:bCs/>
          <w:i/>
          <w:iCs/>
          <w:sz w:val="24"/>
          <w:szCs w:val="24"/>
        </w:rPr>
        <w:tab/>
      </w:r>
    </w:p>
    <w:p w:rsidR="006372AB" w:rsidRPr="00D64B33" w:rsidRDefault="006372AB" w:rsidP="006372AB">
      <w:pPr>
        <w:jc w:val="center"/>
        <w:rPr>
          <w:rFonts w:ascii="Arial" w:hAnsi="Arial" w:cs="Arial"/>
          <w:b/>
          <w:bCs/>
          <w:sz w:val="28"/>
          <w:szCs w:val="28"/>
        </w:rPr>
      </w:pPr>
      <w:r w:rsidRPr="00D64B33">
        <w:rPr>
          <w:rFonts w:ascii="Arial" w:hAnsi="Arial" w:cs="Arial"/>
          <w:b/>
          <w:bCs/>
          <w:i/>
          <w:iCs/>
          <w:sz w:val="24"/>
          <w:szCs w:val="24"/>
        </w:rPr>
        <w:t>Update 10-05-2020</w:t>
      </w:r>
    </w:p>
    <w:p w:rsidR="006372AB" w:rsidRPr="00D64B33" w:rsidRDefault="006372AB" w:rsidP="006372AB">
      <w:pPr>
        <w:rPr>
          <w:rFonts w:ascii="Arial" w:hAnsi="Arial" w:cs="Arial"/>
        </w:rPr>
      </w:pPr>
      <w:r w:rsidRPr="00D64B33">
        <w:rPr>
          <w:rFonts w:ascii="Arial" w:hAnsi="Arial" w:cs="Arial"/>
        </w:rPr>
        <w:t>Diese</w:t>
      </w:r>
      <w:r w:rsidRPr="00D64B33">
        <w:rPr>
          <w:rFonts w:ascii="Arial" w:hAnsi="Arial" w:cs="Arial"/>
        </w:rPr>
        <w:t xml:space="preserve"> Empfehlung</w:t>
      </w:r>
      <w:r w:rsidRPr="00D64B33">
        <w:rPr>
          <w:rFonts w:ascii="Arial" w:hAnsi="Arial" w:cs="Arial"/>
        </w:rPr>
        <w:t xml:space="preserve"> wird regelmäßig aktualisiert. Die Empfehlungen vom 19. April 2020, in denen Aspekte der Risikobewertung, der Definition von Hochrisikogruppen bei Menschen mit neuromuskulären </w:t>
      </w:r>
      <w:r w:rsidR="00D64B33">
        <w:rPr>
          <w:rFonts w:ascii="Arial" w:hAnsi="Arial" w:cs="Arial"/>
        </w:rPr>
        <w:t>Erkrankungen</w:t>
      </w:r>
      <w:r w:rsidRPr="00D64B33">
        <w:rPr>
          <w:rFonts w:ascii="Arial" w:hAnsi="Arial" w:cs="Arial"/>
        </w:rPr>
        <w:t>, Maßnahmen zur Vermeidung von Infektionen, des medizinischen Managements, der Versorgung und der Unterstützung durch neuromuskuläre Spezialisten und Zentren detailliert beschrieben werden, bleiben im Wesentlichen aktuell.</w:t>
      </w:r>
    </w:p>
    <w:p w:rsidR="006372AB" w:rsidRPr="00D64B33" w:rsidRDefault="006372AB" w:rsidP="006372AB">
      <w:pPr>
        <w:rPr>
          <w:rFonts w:ascii="Arial" w:hAnsi="Arial" w:cs="Arial"/>
        </w:rPr>
      </w:pPr>
      <w:r w:rsidRPr="00D64B33">
        <w:rPr>
          <w:rFonts w:ascii="Arial" w:hAnsi="Arial" w:cs="Arial"/>
        </w:rPr>
        <w:t>N</w:t>
      </w:r>
      <w:r w:rsidRPr="00D64B33">
        <w:rPr>
          <w:rFonts w:ascii="Arial" w:hAnsi="Arial" w:cs="Arial"/>
        </w:rPr>
        <w:t xml:space="preserve">eu ist jedoch die Gewährleistung einer </w:t>
      </w:r>
      <w:r w:rsidRPr="00D64B33">
        <w:rPr>
          <w:rFonts w:ascii="Arial" w:hAnsi="Arial" w:cs="Arial"/>
          <w:b/>
        </w:rPr>
        <w:t>sicheren De</w:t>
      </w:r>
      <w:r w:rsidRPr="00D64B33">
        <w:rPr>
          <w:rFonts w:ascii="Arial" w:hAnsi="Arial" w:cs="Arial"/>
          <w:b/>
        </w:rPr>
        <w:t>-E</w:t>
      </w:r>
      <w:r w:rsidRPr="00D64B33">
        <w:rPr>
          <w:rFonts w:ascii="Arial" w:hAnsi="Arial" w:cs="Arial"/>
          <w:b/>
        </w:rPr>
        <w:t>skalation</w:t>
      </w:r>
      <w:r w:rsidRPr="00D64B33">
        <w:rPr>
          <w:rFonts w:ascii="Arial" w:hAnsi="Arial" w:cs="Arial"/>
        </w:rPr>
        <w:t xml:space="preserve"> ein</w:t>
      </w:r>
      <w:r w:rsidRPr="00D64B33">
        <w:rPr>
          <w:rFonts w:ascii="Arial" w:hAnsi="Arial" w:cs="Arial"/>
        </w:rPr>
        <w:t>zelner</w:t>
      </w:r>
      <w:r w:rsidRPr="00D64B33">
        <w:rPr>
          <w:rFonts w:ascii="Arial" w:hAnsi="Arial" w:cs="Arial"/>
        </w:rPr>
        <w:t xml:space="preserve"> Aspekte der Abschirmung und Selbstisolierung, damit Menschen mit neuromuskulären </w:t>
      </w:r>
      <w:r w:rsidRPr="00D64B33">
        <w:rPr>
          <w:rFonts w:ascii="Arial" w:hAnsi="Arial" w:cs="Arial"/>
        </w:rPr>
        <w:t>Erkrankungen</w:t>
      </w:r>
      <w:r w:rsidRPr="00D64B33">
        <w:rPr>
          <w:rFonts w:ascii="Arial" w:hAnsi="Arial" w:cs="Arial"/>
        </w:rPr>
        <w:t xml:space="preserve"> soziale Interaktionen und Bildung wiederaufnehmen, arbeiten oder an geplanten medizinischen Terminen teilnehmen können.</w:t>
      </w:r>
    </w:p>
    <w:p w:rsidR="006372AB" w:rsidRPr="00D64B33" w:rsidRDefault="006372AB" w:rsidP="006372AB">
      <w:pPr>
        <w:rPr>
          <w:rFonts w:ascii="Arial" w:hAnsi="Arial" w:cs="Arial"/>
        </w:rPr>
      </w:pPr>
      <w:r w:rsidRPr="00D64B33">
        <w:rPr>
          <w:rFonts w:ascii="Arial" w:hAnsi="Arial" w:cs="Arial"/>
        </w:rPr>
        <w:t>Derzeit gibt es erhebliche Unterschiede in der Art und Weise, wie sich nationale Beschränkungen entwickeln, und dies wirkt sich auf Menschen mit neuromuskulären Erkrankungen, ihre Familien und Betreuer aus, die sich von ihren neuromuskulären Diensten beraten lassen.</w:t>
      </w:r>
    </w:p>
    <w:p w:rsidR="00057DA1" w:rsidRPr="00D64B33" w:rsidRDefault="006372AB" w:rsidP="006372AB">
      <w:pPr>
        <w:rPr>
          <w:rFonts w:ascii="Arial" w:hAnsi="Arial" w:cs="Arial"/>
        </w:rPr>
      </w:pPr>
      <w:r w:rsidRPr="00D64B33">
        <w:rPr>
          <w:rFonts w:ascii="Arial" w:hAnsi="Arial" w:cs="Arial"/>
        </w:rPr>
        <w:t>Trotz der Vielzahl nationaler Ansätze zu diesem Thema stimmt unsere Gesellschaft den folgenden Überlegungen zur Risikostratifizierung zu:</w:t>
      </w:r>
    </w:p>
    <w:p w:rsidR="006372AB" w:rsidRPr="00D64B33" w:rsidRDefault="006372AB" w:rsidP="006372AB">
      <w:pPr>
        <w:rPr>
          <w:rFonts w:ascii="Arial" w:hAnsi="Arial" w:cs="Arial"/>
        </w:rPr>
      </w:pPr>
      <w:r w:rsidRPr="00D64B33">
        <w:rPr>
          <w:rFonts w:ascii="Arial" w:hAnsi="Arial" w:cs="Arial"/>
        </w:rPr>
        <w:t>1. Für Menschen mit neuromuskulären Erkrankungen, die als risikoarm eingestuft werden (siehe Absatz 1 des Hinweis- und Positionsdokuments vom 19.04.2020), d.h. ohne kardiorespiratorische Beeinträchtigung, keine Immunsuppression und ohne andere signifikante Risikofaktoren oder Komorbiditäten, empfehlen wir, gemäß den lokalen und nationalen Leitlinien zu verfahren. Im Zweifelsfall wird eine Konsultation de</w:t>
      </w:r>
      <w:r w:rsidR="00B762CC" w:rsidRPr="00D64B33">
        <w:rPr>
          <w:rFonts w:ascii="Arial" w:hAnsi="Arial" w:cs="Arial"/>
        </w:rPr>
        <w:t>r</w:t>
      </w:r>
      <w:r w:rsidRPr="00D64B33">
        <w:rPr>
          <w:rFonts w:ascii="Arial" w:hAnsi="Arial" w:cs="Arial"/>
        </w:rPr>
        <w:t xml:space="preserve"> neuromuskulären Spezialisten empfohlen.</w:t>
      </w:r>
    </w:p>
    <w:p w:rsidR="006372AB" w:rsidRPr="00D64B33" w:rsidRDefault="006372AB" w:rsidP="006372AB">
      <w:pPr>
        <w:rPr>
          <w:rFonts w:ascii="Arial" w:hAnsi="Arial" w:cs="Arial"/>
        </w:rPr>
      </w:pPr>
      <w:r w:rsidRPr="00D64B33">
        <w:rPr>
          <w:rFonts w:ascii="Arial" w:hAnsi="Arial" w:cs="Arial"/>
        </w:rPr>
        <w:t>2. Bei Patienten mit mittlerem Risiko, beispielsweise mit leichter Atembeteiligung, empfehlen wir ein ausführliches Gespräch mit ihrem neuromuskulären Spezialisten oder dem für ihre neuromuskuläre Versorgung zuständigen Arzt. Eine kontrollierte Lockerung der Beschränkungen, ausschließlich in einer sicheren Umgebung, kann unter angemessener Vorsicht und unter Berücksichtigung lokaler und nationaler Empfehlungen in Betracht gezogen werden.</w:t>
      </w:r>
    </w:p>
    <w:p w:rsidR="006372AB" w:rsidRPr="00D64B33" w:rsidRDefault="006372AB" w:rsidP="006372AB">
      <w:pPr>
        <w:rPr>
          <w:rFonts w:ascii="Arial" w:hAnsi="Arial" w:cs="Arial"/>
        </w:rPr>
      </w:pPr>
      <w:r w:rsidRPr="00D64B33">
        <w:rPr>
          <w:rFonts w:ascii="Arial" w:hAnsi="Arial" w:cs="Arial"/>
        </w:rPr>
        <w:t>3. Besondere Überlegungen müssen für Personen angestellt werden, bei denen ein „hohes“ oder „sehr hohes“ Risiko besteht (siehe Absatz 1 des Originaldokuments</w:t>
      </w:r>
      <w:r w:rsidR="00B762CC" w:rsidRPr="00D64B33">
        <w:rPr>
          <w:rFonts w:ascii="Arial" w:hAnsi="Arial" w:cs="Arial"/>
        </w:rPr>
        <w:t xml:space="preserve"> vom 19.04.2020</w:t>
      </w:r>
      <w:r w:rsidRPr="00D64B33">
        <w:rPr>
          <w:rFonts w:ascii="Arial" w:hAnsi="Arial" w:cs="Arial"/>
        </w:rPr>
        <w:t xml:space="preserve">), insbesondere für Personen mit schwerem oder instabilem Atemwegserkrankungen (FVC &lt;60% vorhergesagt). </w:t>
      </w:r>
      <w:r w:rsidR="00B762CC" w:rsidRPr="00D64B33">
        <w:rPr>
          <w:rFonts w:ascii="Arial" w:hAnsi="Arial" w:cs="Arial"/>
        </w:rPr>
        <w:t>Notwendigkeit der Heimbeatmung</w:t>
      </w:r>
      <w:r w:rsidRPr="00D64B33">
        <w:rPr>
          <w:rFonts w:ascii="Arial" w:hAnsi="Arial" w:cs="Arial"/>
        </w:rPr>
        <w:t xml:space="preserve">; klinisch relevante Beeinträchtigung der Herzfunktion; Immunsuppression; oder schwere </w:t>
      </w:r>
      <w:r w:rsidR="00B762CC" w:rsidRPr="00D64B33">
        <w:rPr>
          <w:rFonts w:ascii="Arial" w:hAnsi="Arial" w:cs="Arial"/>
        </w:rPr>
        <w:t>Muskels</w:t>
      </w:r>
      <w:r w:rsidRPr="00D64B33">
        <w:rPr>
          <w:rFonts w:ascii="Arial" w:hAnsi="Arial" w:cs="Arial"/>
        </w:rPr>
        <w:t xml:space="preserve">chwäche, die mehrere Betreuer oder komplexe laufende Unterstützung erfordert. Für diese </w:t>
      </w:r>
      <w:r w:rsidR="00B762CC" w:rsidRPr="00D64B33">
        <w:rPr>
          <w:rFonts w:ascii="Arial" w:hAnsi="Arial" w:cs="Arial"/>
        </w:rPr>
        <w:t xml:space="preserve">Gruppe von Patienten </w:t>
      </w:r>
      <w:r w:rsidRPr="00D64B33">
        <w:rPr>
          <w:rFonts w:ascii="Arial" w:hAnsi="Arial" w:cs="Arial"/>
        </w:rPr>
        <w:t xml:space="preserve">sollten Maßnahmen zur Selbstisolierung zur Vermeidung von Infektionen bestehen bleiben. Pflegepersonen und Familienmitglieder, die sich nicht mehr selbst isolieren, müssen weiterhin </w:t>
      </w:r>
      <w:r w:rsidR="00B762CC" w:rsidRPr="00D64B33">
        <w:rPr>
          <w:rFonts w:ascii="Arial" w:hAnsi="Arial" w:cs="Arial"/>
        </w:rPr>
        <w:t>Nasen-Mund-</w:t>
      </w:r>
      <w:r w:rsidRPr="00D64B33">
        <w:rPr>
          <w:rFonts w:ascii="Arial" w:hAnsi="Arial" w:cs="Arial"/>
        </w:rPr>
        <w:t xml:space="preserve">Masken und </w:t>
      </w:r>
      <w:r w:rsidR="00B762CC" w:rsidRPr="00D64B33">
        <w:rPr>
          <w:rFonts w:ascii="Arial" w:hAnsi="Arial" w:cs="Arial"/>
        </w:rPr>
        <w:t>Sicherheitsb</w:t>
      </w:r>
      <w:r w:rsidRPr="00D64B33">
        <w:rPr>
          <w:rFonts w:ascii="Arial" w:hAnsi="Arial" w:cs="Arial"/>
        </w:rPr>
        <w:t>arrieren verwenden, wenn sie mit der gefährdeten Person in Kontakt kommen.</w:t>
      </w:r>
    </w:p>
    <w:p w:rsidR="006372AB" w:rsidRPr="00D64B33" w:rsidRDefault="006372AB" w:rsidP="006372AB">
      <w:pPr>
        <w:rPr>
          <w:rFonts w:ascii="Arial" w:hAnsi="Arial" w:cs="Arial"/>
        </w:rPr>
      </w:pPr>
      <w:r w:rsidRPr="00D64B33">
        <w:rPr>
          <w:rFonts w:ascii="Arial" w:hAnsi="Arial" w:cs="Arial"/>
        </w:rPr>
        <w:t xml:space="preserve">Für Kinder und Jugendliche mit neuromuskulären </w:t>
      </w:r>
      <w:r w:rsidR="00B762CC" w:rsidRPr="00D64B33">
        <w:rPr>
          <w:rFonts w:ascii="Arial" w:hAnsi="Arial" w:cs="Arial"/>
        </w:rPr>
        <w:t>Erkrankungen</w:t>
      </w:r>
      <w:r w:rsidRPr="00D64B33">
        <w:rPr>
          <w:rFonts w:ascii="Arial" w:hAnsi="Arial" w:cs="Arial"/>
        </w:rPr>
        <w:t xml:space="preserve"> und ihre Eltern ist die Hauptfrage, ob eine Rückkehr in die Schule und in Kindertagesstätten akzeptabel ist. Umgekehrt können Schulen und Kindertagesstätten besorgt sein, ob Kinder mit neuromuskulären Störungen sicher </w:t>
      </w:r>
      <w:r w:rsidR="00D64B33" w:rsidRPr="00D64B33">
        <w:rPr>
          <w:rFonts w:ascii="Arial" w:hAnsi="Arial" w:cs="Arial"/>
        </w:rPr>
        <w:t>wiederaufgenommen</w:t>
      </w:r>
      <w:r w:rsidRPr="00D64B33">
        <w:rPr>
          <w:rFonts w:ascii="Arial" w:hAnsi="Arial" w:cs="Arial"/>
        </w:rPr>
        <w:t xml:space="preserve"> werden können. Diese Entscheidung hängt von </w:t>
      </w:r>
      <w:r w:rsidR="00B762CC" w:rsidRPr="00D64B33">
        <w:rPr>
          <w:rFonts w:ascii="Arial" w:hAnsi="Arial" w:cs="Arial"/>
        </w:rPr>
        <w:t xml:space="preserve">lokalen </w:t>
      </w:r>
      <w:r w:rsidRPr="00D64B33">
        <w:rPr>
          <w:rFonts w:ascii="Arial" w:hAnsi="Arial" w:cs="Arial"/>
        </w:rPr>
        <w:t>Faktoren ab</w:t>
      </w:r>
      <w:r w:rsidR="00B762CC" w:rsidRPr="00D64B33">
        <w:rPr>
          <w:rFonts w:ascii="Arial" w:hAnsi="Arial" w:cs="Arial"/>
        </w:rPr>
        <w:t xml:space="preserve">. Es muss </w:t>
      </w:r>
      <w:r w:rsidR="00B762CC" w:rsidRPr="00D64B33">
        <w:rPr>
          <w:rFonts w:ascii="Arial" w:hAnsi="Arial" w:cs="Arial"/>
        </w:rPr>
        <w:t>gewährleiste</w:t>
      </w:r>
      <w:r w:rsidR="00B762CC" w:rsidRPr="00D64B33">
        <w:rPr>
          <w:rFonts w:ascii="Arial" w:hAnsi="Arial" w:cs="Arial"/>
        </w:rPr>
        <w:t>t werden können, das</w:t>
      </w:r>
      <w:r w:rsidR="00D64B33">
        <w:rPr>
          <w:rFonts w:ascii="Arial" w:hAnsi="Arial" w:cs="Arial"/>
        </w:rPr>
        <w:t>s</w:t>
      </w:r>
      <w:r w:rsidR="00B762CC" w:rsidRPr="00D64B33">
        <w:rPr>
          <w:rFonts w:ascii="Arial" w:hAnsi="Arial" w:cs="Arial"/>
        </w:rPr>
        <w:t xml:space="preserve"> </w:t>
      </w:r>
      <w:r w:rsidRPr="00D64B33">
        <w:rPr>
          <w:rFonts w:ascii="Arial" w:hAnsi="Arial" w:cs="Arial"/>
        </w:rPr>
        <w:lastRenderedPageBreak/>
        <w:t>Schule</w:t>
      </w:r>
      <w:r w:rsidR="00B762CC" w:rsidRPr="00D64B33">
        <w:rPr>
          <w:rFonts w:ascii="Arial" w:hAnsi="Arial" w:cs="Arial"/>
        </w:rPr>
        <w:t>n</w:t>
      </w:r>
      <w:r w:rsidRPr="00D64B33">
        <w:rPr>
          <w:rFonts w:ascii="Arial" w:hAnsi="Arial" w:cs="Arial"/>
        </w:rPr>
        <w:t xml:space="preserve"> / Kindertagesstätte</w:t>
      </w:r>
      <w:r w:rsidR="00B762CC" w:rsidRPr="00D64B33">
        <w:rPr>
          <w:rFonts w:ascii="Arial" w:hAnsi="Arial" w:cs="Arial"/>
        </w:rPr>
        <w:t>n</w:t>
      </w:r>
      <w:r w:rsidRPr="00D64B33">
        <w:rPr>
          <w:rFonts w:ascii="Arial" w:hAnsi="Arial" w:cs="Arial"/>
        </w:rPr>
        <w:t xml:space="preserve"> hinsichtlich des Personalbestand</w:t>
      </w:r>
      <w:r w:rsidR="00B762CC" w:rsidRPr="00D64B33">
        <w:rPr>
          <w:rFonts w:ascii="Arial" w:hAnsi="Arial" w:cs="Arial"/>
        </w:rPr>
        <w:t xml:space="preserve"> und </w:t>
      </w:r>
      <w:r w:rsidRPr="00D64B33">
        <w:rPr>
          <w:rFonts w:ascii="Arial" w:hAnsi="Arial" w:cs="Arial"/>
        </w:rPr>
        <w:t>de</w:t>
      </w:r>
      <w:r w:rsidR="00D64B33">
        <w:rPr>
          <w:rFonts w:ascii="Arial" w:hAnsi="Arial" w:cs="Arial"/>
        </w:rPr>
        <w:t>r</w:t>
      </w:r>
      <w:r w:rsidRPr="00D64B33">
        <w:rPr>
          <w:rFonts w:ascii="Arial" w:hAnsi="Arial" w:cs="Arial"/>
        </w:rPr>
        <w:t xml:space="preserve"> Hygiene </w:t>
      </w:r>
      <w:r w:rsidR="00B762CC" w:rsidRPr="00D64B33">
        <w:rPr>
          <w:rFonts w:ascii="Arial" w:hAnsi="Arial" w:cs="Arial"/>
        </w:rPr>
        <w:t>g</w:t>
      </w:r>
      <w:r w:rsidRPr="00D64B33">
        <w:rPr>
          <w:rFonts w:ascii="Arial" w:hAnsi="Arial" w:cs="Arial"/>
        </w:rPr>
        <w:t xml:space="preserve">emäß den nationalen Richtlinien </w:t>
      </w:r>
      <w:r w:rsidR="00B762CC" w:rsidRPr="00D64B33">
        <w:rPr>
          <w:rFonts w:ascii="Arial" w:hAnsi="Arial" w:cs="Arial"/>
        </w:rPr>
        <w:t>agieren können</w:t>
      </w:r>
      <w:r w:rsidRPr="00D64B33">
        <w:rPr>
          <w:rFonts w:ascii="Arial" w:hAnsi="Arial" w:cs="Arial"/>
        </w:rPr>
        <w:t>. International gibt es</w:t>
      </w:r>
      <w:r w:rsidR="00B762CC" w:rsidRPr="00D64B33">
        <w:rPr>
          <w:rFonts w:ascii="Arial" w:hAnsi="Arial" w:cs="Arial"/>
        </w:rPr>
        <w:t xml:space="preserve"> hier</w:t>
      </w:r>
      <w:r w:rsidRPr="00D64B33">
        <w:rPr>
          <w:rFonts w:ascii="Arial" w:hAnsi="Arial" w:cs="Arial"/>
        </w:rPr>
        <w:t xml:space="preserve"> erhebliche Unterschiede.</w:t>
      </w:r>
    </w:p>
    <w:p w:rsidR="00D64B33" w:rsidRDefault="00B762CC" w:rsidP="006372AB">
      <w:pPr>
        <w:rPr>
          <w:rFonts w:ascii="Arial" w:hAnsi="Arial" w:cs="Arial"/>
        </w:rPr>
      </w:pPr>
      <w:r w:rsidRPr="00D64B33">
        <w:rPr>
          <w:rFonts w:ascii="Arial" w:hAnsi="Arial" w:cs="Arial"/>
        </w:rPr>
        <w:t>Unsere</w:t>
      </w:r>
      <w:r w:rsidR="006372AB" w:rsidRPr="00D64B33">
        <w:rPr>
          <w:rFonts w:ascii="Arial" w:hAnsi="Arial" w:cs="Arial"/>
        </w:rPr>
        <w:t xml:space="preserve"> Patienten </w:t>
      </w:r>
      <w:r w:rsidRPr="00D64B33">
        <w:rPr>
          <w:rFonts w:ascii="Arial" w:hAnsi="Arial" w:cs="Arial"/>
        </w:rPr>
        <w:t>müssen</w:t>
      </w:r>
      <w:r w:rsidR="006372AB" w:rsidRPr="00D64B33">
        <w:rPr>
          <w:rFonts w:ascii="Arial" w:hAnsi="Arial" w:cs="Arial"/>
        </w:rPr>
        <w:t xml:space="preserve"> beruhigt sein, dass </w:t>
      </w:r>
      <w:r w:rsidRPr="00D64B33">
        <w:rPr>
          <w:rFonts w:ascii="Arial" w:hAnsi="Arial" w:cs="Arial"/>
        </w:rPr>
        <w:t xml:space="preserve">wir </w:t>
      </w:r>
      <w:r w:rsidR="006372AB" w:rsidRPr="00D64B33">
        <w:rPr>
          <w:rFonts w:ascii="Arial" w:hAnsi="Arial" w:cs="Arial"/>
        </w:rPr>
        <w:t xml:space="preserve">wichtige Verfahren wie Schlafstudien, Herztests und die Einleitung einer nicht-invasiven Beatmung sicher </w:t>
      </w:r>
      <w:r w:rsidRPr="00D64B33">
        <w:rPr>
          <w:rFonts w:ascii="Arial" w:hAnsi="Arial" w:cs="Arial"/>
        </w:rPr>
        <w:t xml:space="preserve">für sie </w:t>
      </w:r>
      <w:r w:rsidR="006372AB" w:rsidRPr="00D64B33">
        <w:rPr>
          <w:rFonts w:ascii="Arial" w:hAnsi="Arial" w:cs="Arial"/>
        </w:rPr>
        <w:t xml:space="preserve">durchführen können. Neuromuskuläre Spezialisten müssen ihre Patientenkohorte </w:t>
      </w:r>
      <w:r w:rsidRPr="00D64B33">
        <w:rPr>
          <w:rFonts w:ascii="Arial" w:hAnsi="Arial" w:cs="Arial"/>
        </w:rPr>
        <w:t>kontaktieren</w:t>
      </w:r>
      <w:r w:rsidR="006372AB" w:rsidRPr="00D64B33">
        <w:rPr>
          <w:rFonts w:ascii="Arial" w:hAnsi="Arial" w:cs="Arial"/>
        </w:rPr>
        <w:t xml:space="preserve">, um </w:t>
      </w:r>
      <w:r w:rsidRPr="00D64B33">
        <w:rPr>
          <w:rFonts w:ascii="Arial" w:hAnsi="Arial" w:cs="Arial"/>
        </w:rPr>
        <w:t xml:space="preserve">ggf. </w:t>
      </w:r>
      <w:r w:rsidR="006372AB" w:rsidRPr="00D64B33">
        <w:rPr>
          <w:rFonts w:ascii="Arial" w:hAnsi="Arial" w:cs="Arial"/>
        </w:rPr>
        <w:t xml:space="preserve">festzustellen, welche medizinischen Verfahren während der </w:t>
      </w:r>
      <w:r w:rsidRPr="00D64B33">
        <w:rPr>
          <w:rFonts w:ascii="Arial" w:hAnsi="Arial" w:cs="Arial"/>
        </w:rPr>
        <w:t>Isolation</w:t>
      </w:r>
      <w:r w:rsidR="006372AB" w:rsidRPr="00D64B33">
        <w:rPr>
          <w:rFonts w:ascii="Arial" w:hAnsi="Arial" w:cs="Arial"/>
        </w:rPr>
        <w:t xml:space="preserve"> möglicherweise verschoben wurden, und um sicherzustellen, dass die Dienste sicher </w:t>
      </w:r>
      <w:r w:rsidRPr="00D64B33">
        <w:rPr>
          <w:rFonts w:ascii="Arial" w:hAnsi="Arial" w:cs="Arial"/>
        </w:rPr>
        <w:t xml:space="preserve">nun </w:t>
      </w:r>
      <w:r w:rsidR="00D64B33" w:rsidRPr="00D64B33">
        <w:rPr>
          <w:rFonts w:ascii="Arial" w:hAnsi="Arial" w:cs="Arial"/>
        </w:rPr>
        <w:t>wiederaufgenommen</w:t>
      </w:r>
      <w:r w:rsidR="006372AB" w:rsidRPr="00D64B33">
        <w:rPr>
          <w:rFonts w:ascii="Arial" w:hAnsi="Arial" w:cs="Arial"/>
        </w:rPr>
        <w:t xml:space="preserve"> werden</w:t>
      </w:r>
      <w:r w:rsidRPr="00D64B33">
        <w:rPr>
          <w:rFonts w:ascii="Arial" w:hAnsi="Arial" w:cs="Arial"/>
        </w:rPr>
        <w:t xml:space="preserve"> können</w:t>
      </w:r>
      <w:r w:rsidR="006372AB" w:rsidRPr="00D64B33">
        <w:rPr>
          <w:rFonts w:ascii="Arial" w:hAnsi="Arial" w:cs="Arial"/>
        </w:rPr>
        <w:t xml:space="preserve">. </w:t>
      </w:r>
    </w:p>
    <w:p w:rsidR="006372AB" w:rsidRPr="00D64B33" w:rsidRDefault="006372AB" w:rsidP="006372AB">
      <w:pPr>
        <w:rPr>
          <w:rFonts w:ascii="Arial" w:hAnsi="Arial" w:cs="Arial"/>
        </w:rPr>
      </w:pPr>
      <w:r w:rsidRPr="00D64B33">
        <w:rPr>
          <w:rFonts w:ascii="Arial" w:hAnsi="Arial" w:cs="Arial"/>
        </w:rPr>
        <w:t xml:space="preserve">Neuromuskuläre </w:t>
      </w:r>
      <w:r w:rsidR="00B762CC" w:rsidRPr="00D64B33">
        <w:rPr>
          <w:rFonts w:ascii="Arial" w:hAnsi="Arial" w:cs="Arial"/>
        </w:rPr>
        <w:t>Einrichtungen</w:t>
      </w:r>
      <w:r w:rsidRPr="00D64B33">
        <w:rPr>
          <w:rFonts w:ascii="Arial" w:hAnsi="Arial" w:cs="Arial"/>
        </w:rPr>
        <w:t xml:space="preserve"> sollten sicherstellen, dass ihr</w:t>
      </w:r>
      <w:r w:rsidR="00B762CC" w:rsidRPr="00D64B33">
        <w:rPr>
          <w:rFonts w:ascii="Arial" w:hAnsi="Arial" w:cs="Arial"/>
        </w:rPr>
        <w:t xml:space="preserve">e Institution </w:t>
      </w:r>
      <w:r w:rsidRPr="00D64B33">
        <w:rPr>
          <w:rFonts w:ascii="Arial" w:hAnsi="Arial" w:cs="Arial"/>
        </w:rPr>
        <w:t xml:space="preserve">angemessene Vorkehrungen für die Sicherheit von </w:t>
      </w:r>
      <w:r w:rsidR="00B762CC" w:rsidRPr="00D64B33">
        <w:rPr>
          <w:rFonts w:ascii="Arial" w:hAnsi="Arial" w:cs="Arial"/>
        </w:rPr>
        <w:t xml:space="preserve">Patienten </w:t>
      </w:r>
      <w:r w:rsidRPr="00D64B33">
        <w:rPr>
          <w:rFonts w:ascii="Arial" w:hAnsi="Arial" w:cs="Arial"/>
        </w:rPr>
        <w:t xml:space="preserve">mit neuromuskulären </w:t>
      </w:r>
      <w:r w:rsidR="00B762CC" w:rsidRPr="00D64B33">
        <w:rPr>
          <w:rFonts w:ascii="Arial" w:hAnsi="Arial" w:cs="Arial"/>
        </w:rPr>
        <w:t>Erkrankungen</w:t>
      </w:r>
      <w:r w:rsidRPr="00D64B33">
        <w:rPr>
          <w:rFonts w:ascii="Arial" w:hAnsi="Arial" w:cs="Arial"/>
        </w:rPr>
        <w:t xml:space="preserve"> </w:t>
      </w:r>
      <w:r w:rsidR="00B762CC" w:rsidRPr="00D64B33">
        <w:rPr>
          <w:rFonts w:ascii="Arial" w:hAnsi="Arial" w:cs="Arial"/>
        </w:rPr>
        <w:t>gewährleistet</w:t>
      </w:r>
      <w:r w:rsidRPr="00D64B33">
        <w:rPr>
          <w:rFonts w:ascii="Arial" w:hAnsi="Arial" w:cs="Arial"/>
        </w:rPr>
        <w:t xml:space="preserve">, </w:t>
      </w:r>
      <w:r w:rsidR="00B762CC" w:rsidRPr="00D64B33">
        <w:rPr>
          <w:rFonts w:ascii="Arial" w:hAnsi="Arial" w:cs="Arial"/>
        </w:rPr>
        <w:t xml:space="preserve">und das eigene </w:t>
      </w:r>
      <w:r w:rsidRPr="00D64B33">
        <w:rPr>
          <w:rFonts w:ascii="Arial" w:hAnsi="Arial" w:cs="Arial"/>
        </w:rPr>
        <w:t>Personal</w:t>
      </w:r>
      <w:r w:rsidR="00B762CC" w:rsidRPr="00D64B33">
        <w:rPr>
          <w:rFonts w:ascii="Arial" w:hAnsi="Arial" w:cs="Arial"/>
        </w:rPr>
        <w:t xml:space="preserve"> </w:t>
      </w:r>
      <w:r w:rsidRPr="00D64B33">
        <w:rPr>
          <w:rFonts w:ascii="Arial" w:hAnsi="Arial" w:cs="Arial"/>
        </w:rPr>
        <w:t>angemessen mit persönlichem Schutz</w:t>
      </w:r>
      <w:r w:rsidR="00B762CC" w:rsidRPr="00D64B33">
        <w:rPr>
          <w:rFonts w:ascii="Arial" w:hAnsi="Arial" w:cs="Arial"/>
        </w:rPr>
        <w:t>ausrüstung</w:t>
      </w:r>
      <w:r w:rsidRPr="00D64B33">
        <w:rPr>
          <w:rFonts w:ascii="Arial" w:hAnsi="Arial" w:cs="Arial"/>
        </w:rPr>
        <w:t xml:space="preserve"> ausgestattet ist</w:t>
      </w:r>
      <w:r w:rsidR="00B762CC" w:rsidRPr="00D64B33">
        <w:rPr>
          <w:rFonts w:ascii="Arial" w:hAnsi="Arial" w:cs="Arial"/>
        </w:rPr>
        <w:t>.</w:t>
      </w:r>
      <w:r w:rsidRPr="00D64B33">
        <w:rPr>
          <w:rFonts w:ascii="Arial" w:hAnsi="Arial" w:cs="Arial"/>
        </w:rPr>
        <w:t xml:space="preserve"> </w:t>
      </w:r>
      <w:r w:rsidR="00D64B33" w:rsidRPr="00D64B33">
        <w:rPr>
          <w:rFonts w:ascii="Arial" w:hAnsi="Arial" w:cs="Arial"/>
        </w:rPr>
        <w:t xml:space="preserve">Es sollten </w:t>
      </w:r>
      <w:r w:rsidRPr="00D64B33">
        <w:rPr>
          <w:rFonts w:ascii="Arial" w:hAnsi="Arial" w:cs="Arial"/>
        </w:rPr>
        <w:t>ausgewiesene „grüne“ Bereiche in Krankenhäusern für nicht COVID-19-bezogene Behandlungen sowie sichere Wartebereiche und Beratungsräume mit angemessener Distanzierung zwischen Patienten</w:t>
      </w:r>
      <w:bookmarkStart w:id="0" w:name="_GoBack"/>
      <w:bookmarkEnd w:id="0"/>
      <w:r w:rsidRPr="00D64B33">
        <w:rPr>
          <w:rFonts w:ascii="Arial" w:hAnsi="Arial" w:cs="Arial"/>
        </w:rPr>
        <w:t xml:space="preserve"> und Personal</w:t>
      </w:r>
      <w:r w:rsidR="00D64B33" w:rsidRPr="00D64B33">
        <w:rPr>
          <w:rFonts w:ascii="Arial" w:hAnsi="Arial" w:cs="Arial"/>
        </w:rPr>
        <w:t xml:space="preserve"> gewährleistet sein</w:t>
      </w:r>
      <w:r w:rsidRPr="00D64B33">
        <w:rPr>
          <w:rFonts w:ascii="Arial" w:hAnsi="Arial" w:cs="Arial"/>
        </w:rPr>
        <w:t>.</w:t>
      </w:r>
    </w:p>
    <w:p w:rsidR="006372AB" w:rsidRPr="006372AB" w:rsidRDefault="006372AB" w:rsidP="006372AB">
      <w:pPr>
        <w:spacing w:line="256" w:lineRule="auto"/>
        <w:rPr>
          <w:rFonts w:ascii="Arial" w:eastAsia="Calibri" w:hAnsi="Arial" w:cs="Arial"/>
          <w:b/>
          <w:sz w:val="24"/>
          <w:szCs w:val="24"/>
          <w:lang w:val="en-GB"/>
        </w:rPr>
      </w:pPr>
      <w:r w:rsidRPr="006372AB">
        <w:rPr>
          <w:rFonts w:ascii="Arial" w:eastAsia="Calibri" w:hAnsi="Arial" w:cs="Arial"/>
          <w:b/>
          <w:sz w:val="24"/>
          <w:szCs w:val="24"/>
          <w:lang w:val="en-GB"/>
        </w:rPr>
        <w:t>Referen</w:t>
      </w:r>
      <w:r w:rsidRPr="00D64B33">
        <w:rPr>
          <w:rFonts w:ascii="Arial" w:eastAsia="Calibri" w:hAnsi="Arial" w:cs="Arial"/>
          <w:b/>
          <w:sz w:val="24"/>
          <w:szCs w:val="24"/>
          <w:lang w:val="en-GB"/>
        </w:rPr>
        <w:t>zen</w:t>
      </w:r>
      <w:r w:rsidRPr="006372AB">
        <w:rPr>
          <w:rFonts w:ascii="Arial" w:eastAsia="Calibri" w:hAnsi="Arial" w:cs="Arial"/>
          <w:b/>
          <w:sz w:val="24"/>
          <w:szCs w:val="24"/>
          <w:lang w:val="en-GB"/>
        </w:rPr>
        <w:t xml:space="preserve"> </w:t>
      </w:r>
      <w:r w:rsidRPr="00D64B33">
        <w:rPr>
          <w:rFonts w:ascii="Arial" w:eastAsia="Calibri" w:hAnsi="Arial" w:cs="Arial"/>
          <w:b/>
          <w:sz w:val="24"/>
          <w:szCs w:val="24"/>
          <w:lang w:val="en-GB"/>
        </w:rPr>
        <w:t>u</w:t>
      </w:r>
      <w:r w:rsidRPr="006372AB">
        <w:rPr>
          <w:rFonts w:ascii="Arial" w:eastAsia="Calibri" w:hAnsi="Arial" w:cs="Arial"/>
          <w:b/>
          <w:sz w:val="24"/>
          <w:szCs w:val="24"/>
          <w:lang w:val="en-GB"/>
        </w:rPr>
        <w:t xml:space="preserve">nd </w:t>
      </w:r>
      <w:r w:rsidRPr="00D64B33">
        <w:rPr>
          <w:rFonts w:ascii="Arial" w:eastAsia="Calibri" w:hAnsi="Arial" w:cs="Arial"/>
          <w:b/>
          <w:sz w:val="24"/>
          <w:szCs w:val="24"/>
          <w:lang w:val="en-GB"/>
        </w:rPr>
        <w:t>L</w:t>
      </w:r>
      <w:r w:rsidRPr="006372AB">
        <w:rPr>
          <w:rFonts w:ascii="Arial" w:eastAsia="Calibri" w:hAnsi="Arial" w:cs="Arial"/>
          <w:b/>
          <w:sz w:val="24"/>
          <w:szCs w:val="24"/>
          <w:lang w:val="en-GB"/>
        </w:rPr>
        <w:t xml:space="preserve">inks:  </w:t>
      </w:r>
    </w:p>
    <w:p w:rsidR="006372AB" w:rsidRPr="00D64B33" w:rsidRDefault="006372AB" w:rsidP="006372AB">
      <w:pPr>
        <w:spacing w:line="256" w:lineRule="auto"/>
        <w:rPr>
          <w:rFonts w:ascii="Arial" w:eastAsia="Calibri" w:hAnsi="Arial" w:cs="Arial"/>
          <w:lang w:val="en-GB"/>
        </w:rPr>
      </w:pPr>
      <w:hyperlink r:id="rId4" w:history="1">
        <w:r w:rsidRPr="00D64B33">
          <w:rPr>
            <w:rFonts w:ascii="Arial" w:eastAsia="Calibri" w:hAnsi="Arial" w:cs="Arial"/>
            <w:color w:val="0000FF"/>
            <w:u w:val="single"/>
            <w:lang w:val="en-GB"/>
          </w:rPr>
          <w:t>http://www.filnemus.fr/menu-filiere/evenements/actualites/article/news/les-recommandations-de-filnemus-dans-la-periode-du-deconfinement/?tx_news_pi1%5Bcontroller%5D=News&amp;tx_news_pi1%5Baction%5D=detail&amp;cHash=56f89313ee508b50526c7dbfb952dd7a</w:t>
        </w:r>
      </w:hyperlink>
    </w:p>
    <w:p w:rsidR="006372AB" w:rsidRPr="00D64B33" w:rsidRDefault="006372AB" w:rsidP="006372AB">
      <w:pPr>
        <w:spacing w:line="256" w:lineRule="auto"/>
        <w:rPr>
          <w:rFonts w:ascii="Arial" w:eastAsia="Calibri" w:hAnsi="Arial" w:cs="Arial"/>
          <w:b/>
          <w:sz w:val="24"/>
          <w:szCs w:val="24"/>
        </w:rPr>
      </w:pPr>
      <w:r w:rsidRPr="00D64B33">
        <w:rPr>
          <w:rFonts w:ascii="Arial" w:eastAsia="Calibri" w:hAnsi="Arial" w:cs="Arial"/>
          <w:b/>
          <w:sz w:val="24"/>
          <w:szCs w:val="24"/>
        </w:rPr>
        <w:t>Autoren dieses Dokuments:</w:t>
      </w:r>
    </w:p>
    <w:p w:rsidR="006372AB" w:rsidRPr="00D64B33" w:rsidRDefault="006372AB" w:rsidP="006372AB">
      <w:pPr>
        <w:spacing w:line="256" w:lineRule="auto"/>
        <w:rPr>
          <w:rFonts w:ascii="Arial" w:eastAsia="Calibri" w:hAnsi="Arial" w:cs="Arial"/>
          <w:sz w:val="24"/>
          <w:szCs w:val="24"/>
        </w:rPr>
      </w:pPr>
      <w:r w:rsidRPr="00D64B33">
        <w:rPr>
          <w:rFonts w:ascii="Arial" w:eastAsia="Calibri" w:hAnsi="Arial" w:cs="Arial"/>
          <w:sz w:val="24"/>
          <w:szCs w:val="24"/>
        </w:rPr>
        <w:t>Zusammengestellt von Maxwell S. Damian, PhD, FNCS, FEAN und den Mitgliedern des Executive Board des WMS (www.worldmusclesociety.org) in Zusammenarbeit mit Mitgliedern des Editorial Board of Neuromuscular Disorders, dem offiziellen Journal des WMS</w:t>
      </w:r>
      <w:r w:rsidRPr="00D64B33">
        <w:rPr>
          <w:rFonts w:ascii="Arial" w:eastAsia="Calibri" w:hAnsi="Arial" w:cs="Arial"/>
          <w:sz w:val="24"/>
          <w:szCs w:val="24"/>
        </w:rPr>
        <w:t>.</w:t>
      </w:r>
    </w:p>
    <w:p w:rsidR="006372AB" w:rsidRPr="00D64B33" w:rsidRDefault="006372AB" w:rsidP="006372AB">
      <w:pPr>
        <w:spacing w:line="256" w:lineRule="auto"/>
        <w:rPr>
          <w:rFonts w:ascii="Arial" w:eastAsia="Calibri" w:hAnsi="Arial" w:cs="Arial"/>
          <w:sz w:val="24"/>
          <w:szCs w:val="24"/>
        </w:rPr>
      </w:pPr>
    </w:p>
    <w:p w:rsidR="006372AB" w:rsidRPr="00D64B33" w:rsidRDefault="006372AB" w:rsidP="006372AB">
      <w:pPr>
        <w:spacing w:line="256" w:lineRule="auto"/>
        <w:rPr>
          <w:rFonts w:ascii="Arial" w:eastAsia="Calibri" w:hAnsi="Arial" w:cs="Arial"/>
          <w:b/>
          <w:sz w:val="24"/>
          <w:szCs w:val="24"/>
        </w:rPr>
      </w:pPr>
      <w:r w:rsidRPr="00D64B33">
        <w:rPr>
          <w:rFonts w:ascii="Arial" w:eastAsia="Calibri" w:hAnsi="Arial" w:cs="Arial"/>
          <w:b/>
          <w:sz w:val="24"/>
          <w:szCs w:val="24"/>
        </w:rPr>
        <w:t>Für die deutsche Übersetzung</w:t>
      </w:r>
    </w:p>
    <w:p w:rsidR="006372AB" w:rsidRPr="00D64B33" w:rsidRDefault="006372AB" w:rsidP="006372AB">
      <w:pPr>
        <w:spacing w:line="256" w:lineRule="auto"/>
        <w:rPr>
          <w:rFonts w:ascii="Arial" w:eastAsia="Calibri" w:hAnsi="Arial" w:cs="Arial"/>
          <w:sz w:val="24"/>
          <w:szCs w:val="24"/>
        </w:rPr>
      </w:pPr>
      <w:r w:rsidRPr="00D64B33">
        <w:rPr>
          <w:rFonts w:ascii="Arial" w:eastAsia="Calibri" w:hAnsi="Arial" w:cs="Arial"/>
          <w:sz w:val="24"/>
          <w:szCs w:val="24"/>
        </w:rPr>
        <w:t>Prof. Dr. med. Benedikt Schoser</w:t>
      </w:r>
    </w:p>
    <w:p w:rsidR="006372AB" w:rsidRPr="006372AB" w:rsidRDefault="006372AB" w:rsidP="006372AB">
      <w:pPr>
        <w:spacing w:after="0" w:line="240" w:lineRule="auto"/>
        <w:rPr>
          <w:rFonts w:ascii="Arial" w:eastAsia="Calibri" w:hAnsi="Arial" w:cs="Arial"/>
        </w:rPr>
      </w:pPr>
      <w:r w:rsidRPr="006372AB">
        <w:rPr>
          <w:rFonts w:ascii="Arial" w:eastAsia="Calibri" w:hAnsi="Arial" w:cs="Arial"/>
        </w:rPr>
        <w:t>Friedrich-Baur-Institut</w:t>
      </w:r>
    </w:p>
    <w:p w:rsidR="006372AB" w:rsidRPr="006372AB" w:rsidRDefault="006372AB" w:rsidP="006372AB">
      <w:pPr>
        <w:spacing w:after="0" w:line="240" w:lineRule="auto"/>
        <w:rPr>
          <w:rFonts w:ascii="Arial" w:eastAsia="Calibri" w:hAnsi="Arial" w:cs="Arial"/>
        </w:rPr>
      </w:pPr>
      <w:r w:rsidRPr="006372AB">
        <w:rPr>
          <w:rFonts w:ascii="Arial" w:eastAsia="Calibri" w:hAnsi="Arial" w:cs="Arial"/>
        </w:rPr>
        <w:t>Neurologische Klinik und Poliklinik</w:t>
      </w:r>
    </w:p>
    <w:p w:rsidR="006372AB" w:rsidRPr="006372AB" w:rsidRDefault="006372AB" w:rsidP="006372AB">
      <w:pPr>
        <w:spacing w:after="0" w:line="240" w:lineRule="auto"/>
        <w:rPr>
          <w:rFonts w:ascii="Arial" w:eastAsia="Calibri" w:hAnsi="Arial" w:cs="Arial"/>
        </w:rPr>
      </w:pPr>
      <w:r w:rsidRPr="006372AB">
        <w:rPr>
          <w:rFonts w:ascii="Arial" w:eastAsia="Calibri" w:hAnsi="Arial" w:cs="Arial"/>
        </w:rPr>
        <w:t>Klinikum der Universität München</w:t>
      </w:r>
    </w:p>
    <w:p w:rsidR="006372AB" w:rsidRPr="006372AB" w:rsidRDefault="006372AB" w:rsidP="006372AB">
      <w:pPr>
        <w:spacing w:after="0" w:line="240" w:lineRule="auto"/>
        <w:rPr>
          <w:rFonts w:ascii="Arial" w:eastAsia="Calibri" w:hAnsi="Arial" w:cs="Arial"/>
        </w:rPr>
      </w:pPr>
      <w:r w:rsidRPr="006372AB">
        <w:rPr>
          <w:rFonts w:ascii="Arial" w:eastAsia="Calibri" w:hAnsi="Arial" w:cs="Arial"/>
        </w:rPr>
        <w:t>Campus Innenstadt</w:t>
      </w:r>
    </w:p>
    <w:p w:rsidR="006372AB" w:rsidRPr="006372AB" w:rsidRDefault="006372AB" w:rsidP="006372AB">
      <w:pPr>
        <w:spacing w:after="0" w:line="240" w:lineRule="auto"/>
        <w:rPr>
          <w:rFonts w:ascii="Arial" w:eastAsia="Calibri" w:hAnsi="Arial" w:cs="Arial"/>
        </w:rPr>
      </w:pPr>
      <w:r w:rsidRPr="006372AB">
        <w:rPr>
          <w:rFonts w:ascii="Arial" w:eastAsia="Calibri" w:hAnsi="Arial" w:cs="Arial"/>
        </w:rPr>
        <w:t>Ludwig-Maximilians-Universität München</w:t>
      </w:r>
    </w:p>
    <w:p w:rsidR="006372AB" w:rsidRPr="006372AB" w:rsidRDefault="006372AB" w:rsidP="006372AB">
      <w:pPr>
        <w:spacing w:after="0" w:line="240" w:lineRule="auto"/>
        <w:rPr>
          <w:rFonts w:ascii="Arial" w:eastAsia="Calibri" w:hAnsi="Arial" w:cs="Arial"/>
        </w:rPr>
      </w:pPr>
      <w:r w:rsidRPr="006372AB">
        <w:rPr>
          <w:rFonts w:ascii="Arial" w:eastAsia="Calibri" w:hAnsi="Arial" w:cs="Arial"/>
        </w:rPr>
        <w:t>Ziemssenstr. 1, 80336 München</w:t>
      </w:r>
    </w:p>
    <w:p w:rsidR="006372AB" w:rsidRPr="006372AB" w:rsidRDefault="006372AB" w:rsidP="006372AB">
      <w:pPr>
        <w:spacing w:after="0" w:line="240" w:lineRule="auto"/>
        <w:rPr>
          <w:rFonts w:ascii="Arial" w:eastAsia="Calibri" w:hAnsi="Arial" w:cs="Arial"/>
        </w:rPr>
      </w:pPr>
      <w:r w:rsidRPr="006372AB">
        <w:rPr>
          <w:rFonts w:ascii="Arial" w:eastAsia="Calibri" w:hAnsi="Arial" w:cs="Arial"/>
        </w:rPr>
        <w:t>E-Mail: </w:t>
      </w:r>
      <w:hyperlink r:id="rId5" w:history="1">
        <w:r w:rsidRPr="00D64B33">
          <w:rPr>
            <w:rFonts w:ascii="Arial" w:eastAsia="Calibri" w:hAnsi="Arial" w:cs="Arial"/>
            <w:color w:val="0563C1"/>
            <w:u w:val="single"/>
          </w:rPr>
          <w:t>benedikt.schoser@med.uni-muenchen.de</w:t>
        </w:r>
      </w:hyperlink>
    </w:p>
    <w:p w:rsidR="006372AB" w:rsidRPr="006372AB" w:rsidRDefault="006372AB" w:rsidP="006372AB">
      <w:pPr>
        <w:spacing w:line="256" w:lineRule="auto"/>
        <w:rPr>
          <w:rFonts w:ascii="Times New Roman" w:eastAsia="Calibri" w:hAnsi="Times New Roman" w:cs="Times New Roman"/>
          <w:sz w:val="24"/>
          <w:szCs w:val="24"/>
        </w:rPr>
      </w:pPr>
    </w:p>
    <w:p w:rsidR="006372AB" w:rsidRPr="006372AB" w:rsidRDefault="006372AB" w:rsidP="006372AB"/>
    <w:sectPr w:rsidR="006372AB" w:rsidRPr="006372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2AB"/>
    <w:rsid w:val="00057DA1"/>
    <w:rsid w:val="006372AB"/>
    <w:rsid w:val="00B762CC"/>
    <w:rsid w:val="00D64B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8EE57"/>
  <w15:chartTrackingRefBased/>
  <w15:docId w15:val="{352EE249-0A77-4857-A855-7DF506CF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6372AB"/>
    <w:pPr>
      <w:spacing w:line="240" w:lineRule="auto"/>
    </w:pPr>
    <w:rPr>
      <w:rFonts w:ascii="Calibri" w:eastAsia="Calibri" w:hAnsi="Calibri" w:cs="Times New Roman"/>
      <w:sz w:val="20"/>
      <w:szCs w:val="20"/>
      <w:lang w:val="en-GB"/>
    </w:rPr>
  </w:style>
  <w:style w:type="character" w:customStyle="1" w:styleId="KommentartextZchn">
    <w:name w:val="Kommentartext Zchn"/>
    <w:basedOn w:val="Absatz-Standardschriftart"/>
    <w:link w:val="Kommentartext"/>
    <w:uiPriority w:val="99"/>
    <w:semiHidden/>
    <w:rsid w:val="006372AB"/>
    <w:rPr>
      <w:rFonts w:ascii="Calibri" w:eastAsia="Calibri" w:hAnsi="Calibri" w:cs="Times New Roman"/>
      <w:sz w:val="20"/>
      <w:szCs w:val="20"/>
      <w:lang w:val="en-GB"/>
    </w:rPr>
  </w:style>
  <w:style w:type="character" w:styleId="Kommentarzeichen">
    <w:name w:val="annotation reference"/>
    <w:basedOn w:val="Absatz-Standardschriftart"/>
    <w:uiPriority w:val="99"/>
    <w:semiHidden/>
    <w:unhideWhenUsed/>
    <w:rsid w:val="006372AB"/>
    <w:rPr>
      <w:sz w:val="16"/>
      <w:szCs w:val="16"/>
    </w:rPr>
  </w:style>
  <w:style w:type="paragraph" w:styleId="Sprechblasentext">
    <w:name w:val="Balloon Text"/>
    <w:basedOn w:val="Standard"/>
    <w:link w:val="SprechblasentextZchn"/>
    <w:uiPriority w:val="99"/>
    <w:semiHidden/>
    <w:unhideWhenUsed/>
    <w:rsid w:val="006372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72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18206">
      <w:bodyDiv w:val="1"/>
      <w:marLeft w:val="0"/>
      <w:marRight w:val="0"/>
      <w:marTop w:val="0"/>
      <w:marBottom w:val="0"/>
      <w:divBdr>
        <w:top w:val="none" w:sz="0" w:space="0" w:color="auto"/>
        <w:left w:val="none" w:sz="0" w:space="0" w:color="auto"/>
        <w:bottom w:val="none" w:sz="0" w:space="0" w:color="auto"/>
        <w:right w:val="none" w:sz="0" w:space="0" w:color="auto"/>
      </w:divBdr>
    </w:div>
    <w:div w:id="1301230802">
      <w:bodyDiv w:val="1"/>
      <w:marLeft w:val="0"/>
      <w:marRight w:val="0"/>
      <w:marTop w:val="0"/>
      <w:marBottom w:val="0"/>
      <w:divBdr>
        <w:top w:val="none" w:sz="0" w:space="0" w:color="auto"/>
        <w:left w:val="none" w:sz="0" w:space="0" w:color="auto"/>
        <w:bottom w:val="none" w:sz="0" w:space="0" w:color="auto"/>
        <w:right w:val="none" w:sz="0" w:space="0" w:color="auto"/>
      </w:divBdr>
    </w:div>
    <w:div w:id="1303579003">
      <w:bodyDiv w:val="1"/>
      <w:marLeft w:val="0"/>
      <w:marRight w:val="0"/>
      <w:marTop w:val="0"/>
      <w:marBottom w:val="0"/>
      <w:divBdr>
        <w:top w:val="none" w:sz="0" w:space="0" w:color="auto"/>
        <w:left w:val="none" w:sz="0" w:space="0" w:color="auto"/>
        <w:bottom w:val="none" w:sz="0" w:space="0" w:color="auto"/>
        <w:right w:val="none" w:sz="0" w:space="0" w:color="auto"/>
      </w:divBdr>
    </w:div>
    <w:div w:id="14825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nedikt.schoser@med.uni-muenchen.de" TargetMode="External"/><Relationship Id="rId4" Type="http://schemas.openxmlformats.org/officeDocument/2006/relationships/hyperlink" Target="http://www.filnemus.fr/menu-filiere/evenements/actualites/article/news/les-recommandations-de-filnemus-dans-la-periode-du-deconfinement/?tx_news_pi1%5Bcontroller%5D=News&amp;tx_news_pi1%5Baction%5D=detail&amp;cHash=56f89313ee508b50526c7dbfb952dd7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4828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Klinikum der Universitaet Muenchen</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Schoser, Benedikt  Prof. Dr.</dc:creator>
  <cp:keywords/>
  <dc:description/>
  <cp:lastModifiedBy>Schoser, Benedikt  Prof. Dr.</cp:lastModifiedBy>
  <cp:revision>1</cp:revision>
  <dcterms:created xsi:type="dcterms:W3CDTF">2020-05-11T09:58:00Z</dcterms:created>
  <dcterms:modified xsi:type="dcterms:W3CDTF">2020-05-11T10:23:00Z</dcterms:modified>
</cp:coreProperties>
</file>