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95AB4" w14:textId="77777777" w:rsidR="00E23A5E" w:rsidRDefault="00115B26" w:rsidP="00E62C7F">
      <w:pPr>
        <w:spacing w:line="276" w:lineRule="auto"/>
        <w:jc w:val="center"/>
        <w:rPr>
          <w:rFonts w:ascii="Times" w:hAnsi="Times"/>
          <w:b/>
          <w:u w:val="single"/>
        </w:rPr>
      </w:pPr>
      <w:r w:rsidRPr="00E62C7F">
        <w:rPr>
          <w:rFonts w:ascii="Times" w:hAnsi="Times"/>
          <w:b/>
          <w:u w:val="single"/>
        </w:rPr>
        <w:t xml:space="preserve">Pacjenci z chorobami nerwowo-mięśniowymi </w:t>
      </w:r>
      <w:r w:rsidR="00E62C7F">
        <w:rPr>
          <w:rFonts w:ascii="Times" w:hAnsi="Times"/>
          <w:b/>
          <w:u w:val="single"/>
        </w:rPr>
        <w:t>a</w:t>
      </w:r>
      <w:r w:rsidRPr="00E62C7F">
        <w:rPr>
          <w:rFonts w:ascii="Times" w:hAnsi="Times"/>
          <w:b/>
          <w:u w:val="single"/>
        </w:rPr>
        <w:t xml:space="preserve"> COVID-19</w:t>
      </w:r>
      <w:r w:rsidR="00E62C7F">
        <w:rPr>
          <w:rFonts w:ascii="Times" w:hAnsi="Times"/>
          <w:b/>
          <w:u w:val="single"/>
        </w:rPr>
        <w:t>:</w:t>
      </w:r>
    </w:p>
    <w:p w14:paraId="634958F2" w14:textId="77777777" w:rsidR="00E62C7F" w:rsidRPr="00E62C7F" w:rsidRDefault="00E62C7F" w:rsidP="00E62C7F">
      <w:pPr>
        <w:spacing w:line="276" w:lineRule="auto"/>
        <w:jc w:val="center"/>
        <w:rPr>
          <w:rFonts w:ascii="Times" w:hAnsi="Times"/>
          <w:b/>
          <w:u w:val="single"/>
        </w:rPr>
      </w:pPr>
    </w:p>
    <w:p w14:paraId="0FE6268A" w14:textId="77777777" w:rsidR="00115B26" w:rsidRPr="00E5294F" w:rsidRDefault="00115B26" w:rsidP="00E62C7F">
      <w:pPr>
        <w:spacing w:line="276" w:lineRule="auto"/>
        <w:jc w:val="both"/>
        <w:rPr>
          <w:rFonts w:ascii="Times" w:hAnsi="Times"/>
          <w:b/>
        </w:rPr>
      </w:pPr>
      <w:r w:rsidRPr="00E5294F">
        <w:rPr>
          <w:rFonts w:ascii="Times" w:hAnsi="Times"/>
          <w:b/>
        </w:rPr>
        <w:t xml:space="preserve">Stanowisko i zalecenia Światowego Towarzystwa Chorób Mięśni </w:t>
      </w:r>
      <w:r w:rsidR="00601B4C" w:rsidRPr="00E5294F">
        <w:rPr>
          <w:rFonts w:ascii="Times" w:hAnsi="Times"/>
          <w:b/>
        </w:rPr>
        <w:t>(World Muscle Society)</w:t>
      </w:r>
    </w:p>
    <w:p w14:paraId="0B6141D2" w14:textId="77777777" w:rsidR="00601B4C" w:rsidRPr="00E62C7F" w:rsidRDefault="00601B4C" w:rsidP="00E62C7F">
      <w:pPr>
        <w:spacing w:line="276" w:lineRule="auto"/>
        <w:jc w:val="both"/>
        <w:rPr>
          <w:rFonts w:ascii="Times" w:hAnsi="Times"/>
        </w:rPr>
      </w:pPr>
    </w:p>
    <w:p w14:paraId="1DF24ABD" w14:textId="77777777" w:rsidR="00E5294F" w:rsidRDefault="00E62C7F" w:rsidP="00E62C7F">
      <w:pPr>
        <w:pStyle w:val="Tekstpodstawowy"/>
        <w:kinsoku w:val="0"/>
        <w:overflowPunct w:val="0"/>
        <w:spacing w:before="2" w:line="276" w:lineRule="auto"/>
        <w:ind w:left="100" w:right="239"/>
        <w:jc w:val="both"/>
        <w:rPr>
          <w:rFonts w:ascii="Times" w:hAnsi="Times"/>
          <w:sz w:val="24"/>
          <w:szCs w:val="24"/>
        </w:rPr>
      </w:pPr>
      <w:r w:rsidRPr="00F84085">
        <w:rPr>
          <w:rFonts w:ascii="Times" w:hAnsi="Times"/>
          <w:sz w:val="24"/>
          <w:szCs w:val="24"/>
        </w:rPr>
        <w:t>Grupa chorób</w:t>
      </w:r>
      <w:r w:rsidR="00F84085" w:rsidRPr="00F84085">
        <w:rPr>
          <w:rFonts w:ascii="Times" w:hAnsi="Times"/>
          <w:sz w:val="24"/>
          <w:szCs w:val="24"/>
        </w:rPr>
        <w:t xml:space="preserve"> n</w:t>
      </w:r>
      <w:r w:rsidR="00601B4C" w:rsidRPr="00F84085">
        <w:rPr>
          <w:rFonts w:ascii="Times" w:hAnsi="Times"/>
          <w:sz w:val="24"/>
          <w:szCs w:val="24"/>
        </w:rPr>
        <w:t xml:space="preserve">erwowo-mięśniowych (NMD) obejmuje szerokie spektrum schorzeń różniących się znacznie stopniem niepełnosprawności nawet w zakresie tej samej jednostki chorobowej. Z tego powodu trudno jest stworzyć konkretne rekomendacje, które będą adekwatne dla całej grupy tych chorób. Niniejsze </w:t>
      </w:r>
      <w:r w:rsidRPr="00F84085">
        <w:rPr>
          <w:rFonts w:ascii="Times" w:hAnsi="Times"/>
          <w:sz w:val="24"/>
          <w:szCs w:val="24"/>
        </w:rPr>
        <w:t>zalecenia</w:t>
      </w:r>
      <w:r w:rsidR="00601B4C" w:rsidRPr="00F84085">
        <w:rPr>
          <w:rFonts w:ascii="Times" w:hAnsi="Times"/>
          <w:sz w:val="24"/>
          <w:szCs w:val="24"/>
        </w:rPr>
        <w:t xml:space="preserve"> </w:t>
      </w:r>
      <w:r w:rsidR="000971B0" w:rsidRPr="00F84085">
        <w:rPr>
          <w:rFonts w:ascii="Times" w:hAnsi="Times"/>
          <w:sz w:val="24"/>
          <w:szCs w:val="24"/>
        </w:rPr>
        <w:t xml:space="preserve">znajdują zastosowanie do większości </w:t>
      </w:r>
      <w:r w:rsidR="000E5924" w:rsidRPr="00F84085">
        <w:rPr>
          <w:rFonts w:ascii="Times" w:hAnsi="Times"/>
          <w:sz w:val="24"/>
          <w:szCs w:val="24"/>
        </w:rPr>
        <w:t>s</w:t>
      </w:r>
      <w:r w:rsidR="000971B0" w:rsidRPr="00F84085">
        <w:rPr>
          <w:rFonts w:ascii="Times" w:hAnsi="Times"/>
          <w:sz w:val="24"/>
          <w:szCs w:val="24"/>
        </w:rPr>
        <w:t>chorzeń nerwowo-mięśniowych. Skierowane są przede wszystkim do opiekunów, neurologów oraz</w:t>
      </w:r>
      <w:r w:rsidR="00E5294F">
        <w:rPr>
          <w:rFonts w:ascii="Times" w:hAnsi="Times"/>
          <w:sz w:val="24"/>
          <w:szCs w:val="24"/>
        </w:rPr>
        <w:t xml:space="preserve"> pracowników</w:t>
      </w:r>
      <w:r w:rsidR="000971B0" w:rsidRPr="00F84085">
        <w:rPr>
          <w:rFonts w:ascii="Times" w:hAnsi="Times"/>
          <w:sz w:val="24"/>
          <w:szCs w:val="24"/>
        </w:rPr>
        <w:t xml:space="preserve"> </w:t>
      </w:r>
      <w:r w:rsidR="00E5294F">
        <w:rPr>
          <w:rFonts w:ascii="Times" w:hAnsi="Times"/>
          <w:sz w:val="24"/>
          <w:szCs w:val="24"/>
        </w:rPr>
        <w:t>podstawowej opieki medycznej.</w:t>
      </w:r>
      <w:r w:rsidR="000E5924" w:rsidRPr="00F84085">
        <w:rPr>
          <w:rFonts w:ascii="Times" w:hAnsi="Times"/>
          <w:sz w:val="24"/>
          <w:szCs w:val="24"/>
        </w:rPr>
        <w:t xml:space="preserve"> Mają również stanowić informację dla lekarzy specjalizujących się w chorobach nerwowo-mięśniowych </w:t>
      </w:r>
      <w:r w:rsidRPr="00F84085">
        <w:rPr>
          <w:rFonts w:ascii="Times" w:hAnsi="Times"/>
          <w:sz w:val="24"/>
          <w:szCs w:val="24"/>
        </w:rPr>
        <w:t>oraz być odpowiedzią</w:t>
      </w:r>
      <w:r w:rsidR="000E5924" w:rsidRPr="00F84085">
        <w:rPr>
          <w:rFonts w:ascii="Times" w:hAnsi="Times"/>
          <w:sz w:val="24"/>
          <w:szCs w:val="24"/>
        </w:rPr>
        <w:t xml:space="preserve"> na często zadawane pytania</w:t>
      </w:r>
      <w:r w:rsidR="00E5294F">
        <w:rPr>
          <w:rFonts w:ascii="Times" w:hAnsi="Times"/>
          <w:sz w:val="24"/>
          <w:szCs w:val="24"/>
        </w:rPr>
        <w:t xml:space="preserve">. </w:t>
      </w:r>
    </w:p>
    <w:p w14:paraId="43839DCA" w14:textId="77777777" w:rsidR="00BA23F5" w:rsidRPr="00F84085" w:rsidRDefault="00BA23F5" w:rsidP="00E62C7F">
      <w:pPr>
        <w:pStyle w:val="Tekstpodstawowy"/>
        <w:kinsoku w:val="0"/>
        <w:overflowPunct w:val="0"/>
        <w:spacing w:before="2" w:line="276" w:lineRule="auto"/>
        <w:ind w:left="0" w:right="239"/>
        <w:jc w:val="both"/>
        <w:rPr>
          <w:rFonts w:ascii="Times" w:hAnsi="Times"/>
          <w:color w:val="212121"/>
          <w:sz w:val="24"/>
          <w:szCs w:val="24"/>
        </w:rPr>
      </w:pPr>
    </w:p>
    <w:p w14:paraId="2B492AEC" w14:textId="09F50DD9" w:rsidR="00BA23F5" w:rsidRPr="00F84085" w:rsidRDefault="00BA23F5" w:rsidP="00E62C7F">
      <w:pPr>
        <w:pStyle w:val="Tekstpodstawowy"/>
        <w:kinsoku w:val="0"/>
        <w:overflowPunct w:val="0"/>
        <w:spacing w:before="2" w:line="276" w:lineRule="auto"/>
        <w:ind w:left="0" w:right="239"/>
        <w:jc w:val="both"/>
        <w:rPr>
          <w:rFonts w:ascii="Times" w:hAnsi="Times"/>
          <w:color w:val="212121"/>
          <w:sz w:val="24"/>
          <w:szCs w:val="24"/>
        </w:rPr>
      </w:pPr>
      <w:r w:rsidRPr="00F84085">
        <w:rPr>
          <w:rFonts w:ascii="Times" w:hAnsi="Times"/>
          <w:color w:val="212121"/>
          <w:sz w:val="24"/>
          <w:szCs w:val="24"/>
        </w:rPr>
        <w:t xml:space="preserve">UWAGA: Z uwagi na fakt, że zagadnienia związane z Covid-19 szybko ewoluują, </w:t>
      </w:r>
      <w:r w:rsidR="00E62C7F" w:rsidRPr="00F84085">
        <w:rPr>
          <w:rFonts w:ascii="Times" w:hAnsi="Times"/>
          <w:color w:val="212121"/>
          <w:sz w:val="24"/>
          <w:szCs w:val="24"/>
        </w:rPr>
        <w:t>radzimy,</w:t>
      </w:r>
      <w:r w:rsidRPr="00F84085">
        <w:rPr>
          <w:rFonts w:ascii="Times" w:hAnsi="Times"/>
          <w:color w:val="212121"/>
          <w:sz w:val="24"/>
          <w:szCs w:val="24"/>
        </w:rPr>
        <w:t xml:space="preserve"> aby </w:t>
      </w:r>
      <w:r w:rsidR="004732E6" w:rsidRPr="00F84085">
        <w:rPr>
          <w:rFonts w:ascii="Times" w:hAnsi="Times"/>
          <w:color w:val="212121"/>
          <w:sz w:val="24"/>
          <w:szCs w:val="24"/>
        </w:rPr>
        <w:t xml:space="preserve">zapoznawać się z </w:t>
      </w:r>
      <w:r w:rsidR="00D3036E">
        <w:rPr>
          <w:rFonts w:ascii="Times" w:hAnsi="Times"/>
          <w:color w:val="212121"/>
          <w:sz w:val="24"/>
          <w:szCs w:val="24"/>
        </w:rPr>
        <w:t>aktualizacją</w:t>
      </w:r>
      <w:r w:rsidR="004732E6" w:rsidRPr="00F84085">
        <w:rPr>
          <w:rFonts w:ascii="Times" w:hAnsi="Times"/>
          <w:color w:val="212121"/>
          <w:sz w:val="24"/>
          <w:szCs w:val="24"/>
        </w:rPr>
        <w:t xml:space="preserve"> niniejszego dokumentu co 3 dni. Proszę upewnić się o używaniu najświeższej wersji rekomendacji. </w:t>
      </w:r>
    </w:p>
    <w:p w14:paraId="31005FB9" w14:textId="77777777" w:rsidR="004732E6" w:rsidRPr="00F84085" w:rsidRDefault="004732E6" w:rsidP="00E62C7F">
      <w:pPr>
        <w:pStyle w:val="Tekstpodstawowy"/>
        <w:kinsoku w:val="0"/>
        <w:overflowPunct w:val="0"/>
        <w:spacing w:before="2" w:line="276" w:lineRule="auto"/>
        <w:ind w:left="0" w:right="239"/>
        <w:jc w:val="both"/>
        <w:rPr>
          <w:rFonts w:ascii="Times" w:hAnsi="Times"/>
          <w:color w:val="212121"/>
          <w:sz w:val="24"/>
          <w:szCs w:val="24"/>
        </w:rPr>
      </w:pPr>
    </w:p>
    <w:p w14:paraId="76651AB0" w14:textId="77777777" w:rsidR="004732E6" w:rsidRPr="00F84085" w:rsidRDefault="004732E6" w:rsidP="00E62C7F">
      <w:pPr>
        <w:pStyle w:val="Tekstpodstawowy"/>
        <w:numPr>
          <w:ilvl w:val="0"/>
          <w:numId w:val="2"/>
        </w:numPr>
        <w:kinsoku w:val="0"/>
        <w:overflowPunct w:val="0"/>
        <w:spacing w:before="2" w:line="276" w:lineRule="auto"/>
        <w:ind w:right="239"/>
        <w:jc w:val="both"/>
        <w:rPr>
          <w:rFonts w:ascii="Times" w:hAnsi="Times"/>
          <w:b/>
          <w:color w:val="212121"/>
          <w:sz w:val="24"/>
          <w:szCs w:val="24"/>
        </w:rPr>
      </w:pPr>
      <w:r w:rsidRPr="00F84085">
        <w:rPr>
          <w:rFonts w:ascii="Times" w:hAnsi="Times"/>
          <w:b/>
          <w:color w:val="212121"/>
          <w:sz w:val="24"/>
          <w:szCs w:val="24"/>
        </w:rPr>
        <w:t>Czy osoby z chorobami nerwowo-mięśniowymi stanowią grupę zwiększonego ryzyka?</w:t>
      </w:r>
    </w:p>
    <w:p w14:paraId="1FBDD404" w14:textId="77777777" w:rsidR="004732E6" w:rsidRPr="00F84085" w:rsidRDefault="004732E6" w:rsidP="00E62C7F">
      <w:pPr>
        <w:pStyle w:val="Tekstpodstawowy"/>
        <w:kinsoku w:val="0"/>
        <w:overflowPunct w:val="0"/>
        <w:spacing w:before="2" w:line="276" w:lineRule="auto"/>
        <w:ind w:left="0" w:right="239"/>
        <w:jc w:val="both"/>
        <w:rPr>
          <w:rFonts w:ascii="Times" w:hAnsi="Times"/>
          <w:color w:val="212121"/>
          <w:sz w:val="24"/>
          <w:szCs w:val="24"/>
        </w:rPr>
      </w:pPr>
    </w:p>
    <w:p w14:paraId="507B5D84" w14:textId="14C8435E" w:rsidR="004732E6" w:rsidRPr="00F84085" w:rsidRDefault="004732E6" w:rsidP="00DF2F45">
      <w:pPr>
        <w:spacing w:line="276" w:lineRule="auto"/>
        <w:jc w:val="both"/>
        <w:rPr>
          <w:rFonts w:ascii="Times" w:eastAsia="Times New Roman" w:hAnsi="Times" w:cs="Arial"/>
          <w:color w:val="222222"/>
          <w:shd w:val="clear" w:color="auto" w:fill="F8F9FA"/>
          <w:lang w:eastAsia="pl-PL"/>
        </w:rPr>
      </w:pPr>
      <w:r w:rsidRPr="00F84085">
        <w:rPr>
          <w:rFonts w:ascii="Times" w:hAnsi="Times"/>
          <w:color w:val="212121"/>
        </w:rPr>
        <w:t>Krajowe towarzystwa neurologiczne jak również sieci nerwowo-mięśniowe (Brytyjskie Towarzystwo Neurologiczne, Europejska Sieć Referencyjna rzadkich chorób nerwowo-mięśni</w:t>
      </w:r>
      <w:r w:rsidR="008D35F4">
        <w:rPr>
          <w:rFonts w:ascii="Times" w:hAnsi="Times"/>
          <w:color w:val="212121"/>
        </w:rPr>
        <w:t>o</w:t>
      </w:r>
      <w:r w:rsidRPr="00F84085">
        <w:rPr>
          <w:rFonts w:ascii="Times" w:hAnsi="Times"/>
          <w:color w:val="212121"/>
        </w:rPr>
        <w:t>wych</w:t>
      </w:r>
      <w:r w:rsidR="008D35F4">
        <w:rPr>
          <w:rFonts w:ascii="Times" w:hAnsi="Times"/>
          <w:color w:val="212121"/>
        </w:rPr>
        <w:t xml:space="preserve"> i</w:t>
      </w:r>
      <w:r w:rsidRPr="00F84085">
        <w:rPr>
          <w:rFonts w:ascii="Times" w:hAnsi="Times"/>
          <w:color w:val="212121"/>
        </w:rPr>
        <w:t xml:space="preserve"> inne) stworzyły wytyczne dotyczące wpływu Covid-19 na schorzenia neurologiczne i</w:t>
      </w:r>
      <w:r w:rsidR="00E5294F">
        <w:rPr>
          <w:rFonts w:ascii="Times" w:hAnsi="Times"/>
          <w:color w:val="212121"/>
        </w:rPr>
        <w:t xml:space="preserve"> zalecenia odnośnie </w:t>
      </w:r>
      <w:r w:rsidRPr="00F84085">
        <w:rPr>
          <w:rFonts w:ascii="Times" w:hAnsi="Times"/>
          <w:color w:val="212121"/>
        </w:rPr>
        <w:t xml:space="preserve">postępowania. Dokumenty te definiują ryzyko ciężkiego przebiegu Covid-19 </w:t>
      </w:r>
      <w:r w:rsidR="00E62C7F" w:rsidRPr="00F84085">
        <w:rPr>
          <w:rFonts w:ascii="Times" w:eastAsia="Times New Roman" w:hAnsi="Times" w:cs="Arial"/>
          <w:color w:val="222222"/>
          <w:shd w:val="clear" w:color="auto" w:fill="F8F9FA"/>
          <w:lang w:eastAsia="pl-PL"/>
        </w:rPr>
        <w:t>j</w:t>
      </w:r>
      <w:r w:rsidR="00E62C7F" w:rsidRPr="00DF2F45">
        <w:rPr>
          <w:rFonts w:ascii="Times" w:eastAsia="Times New Roman" w:hAnsi="Times" w:cs="Arial"/>
          <w:color w:val="222222"/>
          <w:lang w:eastAsia="pl-PL"/>
        </w:rPr>
        <w:t>ako wysokie lub umiarkowanie wysokie</w:t>
      </w:r>
      <w:r w:rsidRPr="00DF2F45">
        <w:rPr>
          <w:rFonts w:ascii="Times" w:eastAsia="Times New Roman" w:hAnsi="Times" w:cs="Arial"/>
          <w:color w:val="222222"/>
          <w:lang w:eastAsia="pl-PL"/>
        </w:rPr>
        <w:t xml:space="preserve"> we wszystki</w:t>
      </w:r>
      <w:r w:rsidR="00DF2F45" w:rsidRPr="00DF2F45">
        <w:rPr>
          <w:rFonts w:ascii="Times" w:eastAsia="Times New Roman" w:hAnsi="Times" w:cs="Arial"/>
          <w:color w:val="222222"/>
          <w:lang w:eastAsia="pl-PL"/>
        </w:rPr>
        <w:t xml:space="preserve">ch, </w:t>
      </w:r>
      <w:r w:rsidRPr="00DF2F45">
        <w:rPr>
          <w:rFonts w:ascii="Times" w:eastAsia="Times New Roman" w:hAnsi="Times" w:cs="Arial"/>
          <w:color w:val="222222"/>
          <w:lang w:eastAsia="pl-PL"/>
        </w:rPr>
        <w:t xml:space="preserve">z wyjątkiem najłagodniejszych postaci NMD. Cechy powodujące </w:t>
      </w:r>
      <w:r w:rsidR="00E62C7F" w:rsidRPr="00DF2F45">
        <w:rPr>
          <w:rFonts w:ascii="Times" w:eastAsia="Times New Roman" w:hAnsi="Times" w:cs="Arial"/>
          <w:color w:val="222222"/>
          <w:lang w:eastAsia="pl-PL"/>
        </w:rPr>
        <w:t>wzrost</w:t>
      </w:r>
      <w:r w:rsidRPr="00DF2F45">
        <w:rPr>
          <w:rFonts w:ascii="Times" w:eastAsia="Times New Roman" w:hAnsi="Times" w:cs="Arial"/>
          <w:color w:val="222222"/>
          <w:lang w:eastAsia="pl-PL"/>
        </w:rPr>
        <w:t xml:space="preserve"> do wysokiego lub bardzo wysokiego ryzyka ciężkiego przebiegu choroby obejmują</w:t>
      </w:r>
      <w:r w:rsidR="00E62C7F" w:rsidRPr="00DF2F45">
        <w:rPr>
          <w:rFonts w:ascii="Times" w:eastAsia="Times New Roman" w:hAnsi="Times" w:cs="Arial"/>
          <w:color w:val="222222"/>
          <w:lang w:eastAsia="pl-PL"/>
        </w:rPr>
        <w:t xml:space="preserve"> m.in.:</w:t>
      </w:r>
    </w:p>
    <w:p w14:paraId="27BF7668" w14:textId="3A6E05DE" w:rsidR="004732E6" w:rsidRPr="00F84085" w:rsidRDefault="004732E6" w:rsidP="00E62C7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" w:eastAsia="Times New Roman" w:hAnsi="Times" w:cs="Times New Roman"/>
          <w:lang w:eastAsia="pl-PL"/>
        </w:rPr>
      </w:pPr>
      <w:r w:rsidRPr="00F84085">
        <w:rPr>
          <w:rFonts w:ascii="Times" w:eastAsia="Times New Roman" w:hAnsi="Times" w:cs="Times New Roman"/>
          <w:lang w:eastAsia="pl-PL"/>
        </w:rPr>
        <w:t xml:space="preserve">Osłabienie mięśni klatki piersiowej lub przepony, skutkujące zmniejszeniem </w:t>
      </w:r>
      <w:r w:rsidR="00374A21">
        <w:rPr>
          <w:rFonts w:ascii="Times" w:eastAsia="Times New Roman" w:hAnsi="Times" w:cs="Times New Roman"/>
          <w:lang w:eastAsia="pl-PL"/>
        </w:rPr>
        <w:t>przewidywa</w:t>
      </w:r>
      <w:r w:rsidRPr="00F84085">
        <w:rPr>
          <w:rFonts w:ascii="Times" w:eastAsia="Times New Roman" w:hAnsi="Times" w:cs="Times New Roman"/>
          <w:lang w:eastAsia="pl-PL"/>
        </w:rPr>
        <w:t>nej</w:t>
      </w:r>
      <w:r w:rsidR="00374A21">
        <w:rPr>
          <w:rFonts w:ascii="Times" w:eastAsia="Times New Roman" w:hAnsi="Times" w:cs="Times New Roman"/>
          <w:lang w:eastAsia="pl-PL"/>
        </w:rPr>
        <w:t xml:space="preserve"> nasilonej</w:t>
      </w:r>
      <w:r w:rsidRPr="00F84085">
        <w:rPr>
          <w:rFonts w:ascii="Times" w:eastAsia="Times New Roman" w:hAnsi="Times" w:cs="Times New Roman"/>
          <w:lang w:eastAsia="pl-PL"/>
        </w:rPr>
        <w:t xml:space="preserve"> pojemności życiowej FVC &lt;60%, szczególnie u pacjentów z kyfoskoliozą</w:t>
      </w:r>
      <w:r w:rsidR="00374A21">
        <w:rPr>
          <w:rFonts w:ascii="Times" w:eastAsia="Times New Roman" w:hAnsi="Times" w:cs="Times New Roman"/>
          <w:lang w:eastAsia="pl-PL"/>
        </w:rPr>
        <w:t>;</w:t>
      </w:r>
    </w:p>
    <w:p w14:paraId="772E4B5F" w14:textId="7BB6902D" w:rsidR="004732E6" w:rsidRPr="00F84085" w:rsidRDefault="00980C37" w:rsidP="00E62C7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" w:eastAsia="Times New Roman" w:hAnsi="Times" w:cs="Times New Roman"/>
          <w:lang w:eastAsia="pl-PL"/>
        </w:rPr>
      </w:pPr>
      <w:r w:rsidRPr="00F84085">
        <w:rPr>
          <w:rFonts w:ascii="Times" w:eastAsia="Times New Roman" w:hAnsi="Times" w:cs="Times New Roman"/>
          <w:lang w:eastAsia="pl-PL"/>
        </w:rPr>
        <w:t>Konieczność wentylacji przez maskę lub tracheotomia</w:t>
      </w:r>
      <w:r w:rsidR="00374A21">
        <w:rPr>
          <w:rFonts w:ascii="Times" w:eastAsia="Times New Roman" w:hAnsi="Times" w:cs="Times New Roman"/>
          <w:lang w:eastAsia="pl-PL"/>
        </w:rPr>
        <w:t>;</w:t>
      </w:r>
    </w:p>
    <w:p w14:paraId="460E6250" w14:textId="17BF50E6" w:rsidR="00980C37" w:rsidRPr="00F84085" w:rsidRDefault="00980C37" w:rsidP="00E62C7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" w:eastAsia="Times New Roman" w:hAnsi="Times" w:cs="Times New Roman"/>
          <w:lang w:eastAsia="pl-PL"/>
        </w:rPr>
      </w:pPr>
      <w:r w:rsidRPr="00F84085">
        <w:rPr>
          <w:rFonts w:ascii="Times" w:eastAsia="Times New Roman" w:hAnsi="Times" w:cs="Times New Roman"/>
          <w:lang w:eastAsia="pl-PL"/>
        </w:rPr>
        <w:t>Słaby odruch kaszlowy i osłabione oczyszcz</w:t>
      </w:r>
      <w:r w:rsidR="008D35F4">
        <w:rPr>
          <w:rFonts w:ascii="Times" w:eastAsia="Times New Roman" w:hAnsi="Times" w:cs="Times New Roman"/>
          <w:lang w:eastAsia="pl-PL"/>
        </w:rPr>
        <w:t>a</w:t>
      </w:r>
      <w:r w:rsidRPr="00F84085">
        <w:rPr>
          <w:rFonts w:ascii="Times" w:eastAsia="Times New Roman" w:hAnsi="Times" w:cs="Times New Roman"/>
          <w:lang w:eastAsia="pl-PL"/>
        </w:rPr>
        <w:t>nie dróg oddechowych związane z osłabieniem mięśni opuszkowych</w:t>
      </w:r>
      <w:r w:rsidR="00374A21">
        <w:rPr>
          <w:rFonts w:ascii="Times" w:eastAsia="Times New Roman" w:hAnsi="Times" w:cs="Times New Roman"/>
          <w:lang w:eastAsia="pl-PL"/>
        </w:rPr>
        <w:t>;</w:t>
      </w:r>
    </w:p>
    <w:p w14:paraId="30DE78FF" w14:textId="260E9B1D" w:rsidR="00980C37" w:rsidRPr="00F84085" w:rsidRDefault="00980C37" w:rsidP="00E62C7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" w:eastAsia="Times New Roman" w:hAnsi="Times" w:cs="Times New Roman"/>
          <w:lang w:eastAsia="pl-PL"/>
        </w:rPr>
      </w:pPr>
      <w:r w:rsidRPr="00F84085">
        <w:rPr>
          <w:rFonts w:ascii="Times" w:eastAsia="Times New Roman" w:hAnsi="Times" w:cs="Times New Roman"/>
          <w:lang w:eastAsia="pl-PL"/>
        </w:rPr>
        <w:t>Obecność tracheostomii</w:t>
      </w:r>
      <w:r w:rsidR="00374A21">
        <w:rPr>
          <w:rFonts w:ascii="Times" w:eastAsia="Times New Roman" w:hAnsi="Times" w:cs="Times New Roman"/>
          <w:lang w:eastAsia="pl-PL"/>
        </w:rPr>
        <w:t>;</w:t>
      </w:r>
    </w:p>
    <w:p w14:paraId="61D4919F" w14:textId="19616BDF" w:rsidR="00980C37" w:rsidRPr="00F84085" w:rsidRDefault="00980C37" w:rsidP="00E62C7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" w:eastAsia="Times New Roman" w:hAnsi="Times" w:cs="Times New Roman"/>
          <w:lang w:eastAsia="pl-PL"/>
        </w:rPr>
      </w:pPr>
      <w:r w:rsidRPr="00F84085">
        <w:rPr>
          <w:rFonts w:ascii="Times" w:eastAsia="Times New Roman" w:hAnsi="Times" w:cs="Times New Roman"/>
          <w:lang w:eastAsia="pl-PL"/>
        </w:rPr>
        <w:t>Zajęcie mięśnia sercowego (i/lub przyjmowanie leków kardiologicznych)</w:t>
      </w:r>
      <w:r w:rsidR="00374A21">
        <w:rPr>
          <w:rFonts w:ascii="Times" w:eastAsia="Times New Roman" w:hAnsi="Times" w:cs="Times New Roman"/>
          <w:lang w:eastAsia="pl-PL"/>
        </w:rPr>
        <w:t xml:space="preserve">; </w:t>
      </w:r>
    </w:p>
    <w:p w14:paraId="32E36970" w14:textId="497416AA" w:rsidR="00980C37" w:rsidRPr="00F84085" w:rsidRDefault="00980C37" w:rsidP="00E62C7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" w:eastAsia="Times New Roman" w:hAnsi="Times" w:cs="Times New Roman"/>
          <w:lang w:eastAsia="pl-PL"/>
        </w:rPr>
      </w:pPr>
      <w:r w:rsidRPr="00F84085">
        <w:rPr>
          <w:rFonts w:ascii="Times" w:eastAsia="Times New Roman" w:hAnsi="Times" w:cs="Times New Roman"/>
          <w:lang w:eastAsia="pl-PL"/>
        </w:rPr>
        <w:t>Ryzyko pogorszenia w przebiegu gorączki, głodzenia lub infekcji</w:t>
      </w:r>
      <w:r w:rsidR="00374A21">
        <w:rPr>
          <w:rFonts w:ascii="Times" w:eastAsia="Times New Roman" w:hAnsi="Times" w:cs="Times New Roman"/>
          <w:lang w:eastAsia="pl-PL"/>
        </w:rPr>
        <w:t xml:space="preserve">; </w:t>
      </w:r>
    </w:p>
    <w:p w14:paraId="5950BE02" w14:textId="05964AA2" w:rsidR="00980C37" w:rsidRPr="00F84085" w:rsidRDefault="00980C37" w:rsidP="00E62C7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" w:eastAsia="Times New Roman" w:hAnsi="Times" w:cs="Times New Roman"/>
          <w:lang w:eastAsia="pl-PL"/>
        </w:rPr>
      </w:pPr>
      <w:r w:rsidRPr="00F84085">
        <w:rPr>
          <w:rFonts w:ascii="Times" w:eastAsia="Times New Roman" w:hAnsi="Times" w:cs="Times New Roman"/>
          <w:lang w:eastAsia="pl-PL"/>
        </w:rPr>
        <w:t>Ryzyko rabdomiolizy w przebiegu gorączki, głodzenia lub infekcji</w:t>
      </w:r>
      <w:r w:rsidR="00374A21">
        <w:rPr>
          <w:rFonts w:ascii="Times" w:eastAsia="Times New Roman" w:hAnsi="Times" w:cs="Times New Roman"/>
          <w:lang w:eastAsia="pl-PL"/>
        </w:rPr>
        <w:t>;</w:t>
      </w:r>
    </w:p>
    <w:p w14:paraId="09964825" w14:textId="71B9D847" w:rsidR="00980C37" w:rsidRPr="00F84085" w:rsidRDefault="00980C37" w:rsidP="00E62C7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" w:eastAsia="Times New Roman" w:hAnsi="Times" w:cs="Times New Roman"/>
          <w:lang w:eastAsia="pl-PL"/>
        </w:rPr>
      </w:pPr>
      <w:r w:rsidRPr="00F84085">
        <w:rPr>
          <w:rFonts w:ascii="Times" w:eastAsia="Times New Roman" w:hAnsi="Times" w:cs="Times New Roman"/>
          <w:lang w:eastAsia="pl-PL"/>
        </w:rPr>
        <w:t>Współistnienie cukrzycy i otyłości</w:t>
      </w:r>
      <w:r w:rsidR="00374A21">
        <w:rPr>
          <w:rFonts w:ascii="Times" w:eastAsia="Times New Roman" w:hAnsi="Times" w:cs="Times New Roman"/>
          <w:lang w:eastAsia="pl-PL"/>
        </w:rPr>
        <w:t xml:space="preserve">; </w:t>
      </w:r>
    </w:p>
    <w:p w14:paraId="655A58C1" w14:textId="1C3E38BC" w:rsidR="00980C37" w:rsidRPr="00F84085" w:rsidRDefault="00980C37" w:rsidP="00E62C7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" w:eastAsia="Times New Roman" w:hAnsi="Times" w:cs="Times New Roman"/>
          <w:lang w:eastAsia="pl-PL"/>
        </w:rPr>
      </w:pPr>
      <w:r w:rsidRPr="00F84085">
        <w:rPr>
          <w:rFonts w:ascii="Times" w:eastAsia="Times New Roman" w:hAnsi="Times" w:cs="Times New Roman"/>
          <w:lang w:eastAsia="pl-PL"/>
        </w:rPr>
        <w:t xml:space="preserve">Pacjenci przyjmujący sterydy i </w:t>
      </w:r>
      <w:r w:rsidR="00374A21">
        <w:rPr>
          <w:rFonts w:ascii="Times" w:eastAsia="Times New Roman" w:hAnsi="Times" w:cs="Times New Roman"/>
          <w:lang w:eastAsia="pl-PL"/>
        </w:rPr>
        <w:t xml:space="preserve">pacjenci </w:t>
      </w:r>
      <w:r w:rsidRPr="00F84085">
        <w:rPr>
          <w:rFonts w:ascii="Times" w:eastAsia="Times New Roman" w:hAnsi="Times" w:cs="Times New Roman"/>
          <w:lang w:eastAsia="pl-PL"/>
        </w:rPr>
        <w:t>w trakcie leczenia immunosupresyjnego</w:t>
      </w:r>
      <w:r w:rsidR="00374A21">
        <w:rPr>
          <w:rFonts w:ascii="Times" w:eastAsia="Times New Roman" w:hAnsi="Times" w:cs="Times New Roman"/>
          <w:lang w:eastAsia="pl-PL"/>
        </w:rPr>
        <w:t>.</w:t>
      </w:r>
    </w:p>
    <w:p w14:paraId="560BCF7C" w14:textId="77777777" w:rsidR="00980C37" w:rsidRPr="00F84085" w:rsidRDefault="00980C37" w:rsidP="00E62C7F">
      <w:pPr>
        <w:pStyle w:val="Akapitzlist"/>
        <w:spacing w:line="276" w:lineRule="auto"/>
        <w:jc w:val="both"/>
        <w:rPr>
          <w:rFonts w:ascii="Times" w:eastAsia="Times New Roman" w:hAnsi="Times" w:cs="Times New Roman"/>
          <w:lang w:eastAsia="pl-PL"/>
        </w:rPr>
      </w:pPr>
    </w:p>
    <w:p w14:paraId="1E23AD0D" w14:textId="477AE2E0" w:rsidR="00980C37" w:rsidRPr="00F84085" w:rsidRDefault="00980C37" w:rsidP="00E62C7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" w:eastAsia="Times New Roman" w:hAnsi="Times" w:cs="Times New Roman"/>
          <w:b/>
          <w:lang w:eastAsia="pl-PL"/>
        </w:rPr>
      </w:pPr>
      <w:r w:rsidRPr="00F84085">
        <w:rPr>
          <w:rFonts w:ascii="Times" w:eastAsia="Times New Roman" w:hAnsi="Times" w:cs="Times New Roman"/>
          <w:b/>
          <w:lang w:eastAsia="pl-PL"/>
        </w:rPr>
        <w:t>Co powinien zrobić pacjent z chorobą nerwowo-mięśniową</w:t>
      </w:r>
      <w:r w:rsidR="00DF2F45">
        <w:rPr>
          <w:rFonts w:ascii="Times" w:eastAsia="Times New Roman" w:hAnsi="Times" w:cs="Times New Roman"/>
          <w:b/>
          <w:lang w:eastAsia="pl-PL"/>
        </w:rPr>
        <w:t>,</w:t>
      </w:r>
      <w:r w:rsidRPr="00F84085">
        <w:rPr>
          <w:rFonts w:ascii="Times" w:eastAsia="Times New Roman" w:hAnsi="Times" w:cs="Times New Roman"/>
          <w:b/>
          <w:lang w:eastAsia="pl-PL"/>
        </w:rPr>
        <w:t xml:space="preserve"> aby unikać infekcji?</w:t>
      </w:r>
    </w:p>
    <w:p w14:paraId="59B29FDE" w14:textId="77777777" w:rsidR="00980C37" w:rsidRPr="00F84085" w:rsidRDefault="00980C37" w:rsidP="00E62C7F">
      <w:pPr>
        <w:spacing w:line="276" w:lineRule="auto"/>
        <w:jc w:val="both"/>
        <w:rPr>
          <w:rFonts w:ascii="Times" w:eastAsia="Times New Roman" w:hAnsi="Times" w:cs="Times New Roman"/>
          <w:lang w:eastAsia="pl-PL"/>
        </w:rPr>
      </w:pPr>
    </w:p>
    <w:p w14:paraId="34ABE0D0" w14:textId="489C4C4A" w:rsidR="00980C37" w:rsidRPr="00F84085" w:rsidRDefault="00980C37" w:rsidP="00E62C7F">
      <w:pPr>
        <w:spacing w:line="276" w:lineRule="auto"/>
        <w:jc w:val="both"/>
        <w:rPr>
          <w:rFonts w:ascii="Times" w:eastAsia="Times New Roman" w:hAnsi="Times" w:cs="Times New Roman"/>
          <w:lang w:eastAsia="pl-PL"/>
        </w:rPr>
      </w:pPr>
      <w:r w:rsidRPr="00F84085">
        <w:rPr>
          <w:rFonts w:ascii="Times" w:eastAsia="Times New Roman" w:hAnsi="Times" w:cs="Times New Roman"/>
          <w:lang w:eastAsia="pl-PL"/>
        </w:rPr>
        <w:t>Covid-19 szerzy się drogą kropelkową, kiedy zakażona osoba kaszle, kicha, rozmawia, lub potencjalnie przez dotykanie powierzchni mających na so</w:t>
      </w:r>
      <w:r w:rsidR="00685F6C" w:rsidRPr="00F84085">
        <w:rPr>
          <w:rFonts w:ascii="Times" w:eastAsia="Times New Roman" w:hAnsi="Times" w:cs="Times New Roman"/>
          <w:lang w:eastAsia="pl-PL"/>
        </w:rPr>
        <w:t>bie krople wydzielin</w:t>
      </w:r>
      <w:r w:rsidR="003279B1">
        <w:rPr>
          <w:rFonts w:ascii="Times" w:eastAsia="Times New Roman" w:hAnsi="Times" w:cs="Times New Roman"/>
          <w:lang w:eastAsia="pl-PL"/>
        </w:rPr>
        <w:t xml:space="preserve"> stanowiące materiał zakaźny</w:t>
      </w:r>
      <w:r w:rsidR="00685F6C" w:rsidRPr="00F84085">
        <w:rPr>
          <w:rFonts w:ascii="Times" w:eastAsia="Times New Roman" w:hAnsi="Times" w:cs="Times New Roman"/>
          <w:lang w:eastAsia="pl-PL"/>
        </w:rPr>
        <w:t>. Pacjenci z chorobami nerwowo-mięśniowymi i pacjenci z grupy ryzyka ciężkiego przebiegu Covid-19, jak zdefiniowano powyżej, powinni podjąć następujące środki ostrożności:</w:t>
      </w:r>
    </w:p>
    <w:p w14:paraId="40DC6B3F" w14:textId="6CC87C77" w:rsidR="00685F6C" w:rsidRPr="00F84085" w:rsidRDefault="00685F6C" w:rsidP="00E62C7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" w:eastAsia="Times New Roman" w:hAnsi="Times" w:cs="Times New Roman"/>
          <w:lang w:eastAsia="pl-PL"/>
        </w:rPr>
      </w:pPr>
      <w:r w:rsidRPr="00F84085">
        <w:rPr>
          <w:rFonts w:ascii="Times" w:eastAsia="Times New Roman" w:hAnsi="Times" w:cs="Times New Roman"/>
          <w:lang w:eastAsia="pl-PL"/>
        </w:rPr>
        <w:lastRenderedPageBreak/>
        <w:t xml:space="preserve">Zachować dystans społeczny na minimum 2 metry. Dla pacjentów z grupy wysokiego ryzyka (jw.) zalecamy izolację. Należy postępować zgodnie z oficjalnymi </w:t>
      </w:r>
      <w:r w:rsidR="008D35F4">
        <w:rPr>
          <w:rFonts w:ascii="Times" w:eastAsia="Times New Roman" w:hAnsi="Times" w:cs="Times New Roman"/>
          <w:lang w:eastAsia="pl-PL"/>
        </w:rPr>
        <w:t xml:space="preserve">krajowymi </w:t>
      </w:r>
      <w:r w:rsidRPr="00F84085">
        <w:rPr>
          <w:rFonts w:ascii="Times" w:eastAsia="Times New Roman" w:hAnsi="Times" w:cs="Times New Roman"/>
          <w:lang w:eastAsia="pl-PL"/>
        </w:rPr>
        <w:t xml:space="preserve">zaleceniami dotyczącymi izolacji. </w:t>
      </w:r>
    </w:p>
    <w:p w14:paraId="630B2800" w14:textId="19F6A755" w:rsidR="00685F6C" w:rsidRPr="00F84085" w:rsidRDefault="00685F6C" w:rsidP="00E62C7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" w:eastAsia="Times New Roman" w:hAnsi="Times" w:cs="Times New Roman"/>
          <w:lang w:eastAsia="pl-PL"/>
        </w:rPr>
      </w:pPr>
      <w:r w:rsidRPr="00F84085">
        <w:rPr>
          <w:rFonts w:ascii="Times" w:eastAsia="Times New Roman" w:hAnsi="Times" w:cs="Times New Roman"/>
          <w:lang w:eastAsia="pl-PL"/>
        </w:rPr>
        <w:t>Zaleca się pracę zdalną lub, jeśl</w:t>
      </w:r>
      <w:r w:rsidR="00B753D5">
        <w:rPr>
          <w:rFonts w:ascii="Times" w:eastAsia="Times New Roman" w:hAnsi="Times" w:cs="Times New Roman"/>
          <w:lang w:eastAsia="pl-PL"/>
        </w:rPr>
        <w:t>i t</w:t>
      </w:r>
      <w:r w:rsidRPr="00F84085">
        <w:rPr>
          <w:rFonts w:ascii="Times" w:eastAsia="Times New Roman" w:hAnsi="Times" w:cs="Times New Roman"/>
          <w:lang w:eastAsia="pl-PL"/>
        </w:rPr>
        <w:t xml:space="preserve">o możliwe, przesunięcie/ rozłożenie czasu pracy </w:t>
      </w:r>
    </w:p>
    <w:p w14:paraId="3E0A7938" w14:textId="5082ACDD" w:rsidR="00685F6C" w:rsidRPr="00F84085" w:rsidRDefault="00685F6C" w:rsidP="00E62C7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" w:eastAsia="Times New Roman" w:hAnsi="Times" w:cs="Times New Roman"/>
          <w:lang w:eastAsia="pl-PL"/>
        </w:rPr>
      </w:pPr>
      <w:r w:rsidRPr="00F84085">
        <w:rPr>
          <w:rFonts w:ascii="Times" w:eastAsia="Times New Roman" w:hAnsi="Times" w:cs="Times New Roman"/>
          <w:lang w:eastAsia="pl-PL"/>
        </w:rPr>
        <w:t>Należy unikać zgromadzeń i transportu publicznego. Generalnie zaleca się ograniczenie wizyt u szczególnie narażonych</w:t>
      </w:r>
      <w:r w:rsidR="008D35F4">
        <w:rPr>
          <w:rFonts w:ascii="Times" w:eastAsia="Times New Roman" w:hAnsi="Times" w:cs="Times New Roman"/>
          <w:lang w:eastAsia="pl-PL"/>
        </w:rPr>
        <w:t xml:space="preserve"> na zakażenie</w:t>
      </w:r>
      <w:r w:rsidRPr="00F84085">
        <w:rPr>
          <w:rFonts w:ascii="Times" w:eastAsia="Times New Roman" w:hAnsi="Times" w:cs="Times New Roman"/>
          <w:lang w:eastAsia="pl-PL"/>
        </w:rPr>
        <w:t xml:space="preserve"> osób.</w:t>
      </w:r>
    </w:p>
    <w:p w14:paraId="32D91E6E" w14:textId="4F947388" w:rsidR="00685F6C" w:rsidRPr="00F84085" w:rsidRDefault="00685F6C" w:rsidP="00E62C7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" w:eastAsia="Times New Roman" w:hAnsi="Times" w:cs="Times New Roman"/>
          <w:lang w:eastAsia="pl-PL"/>
        </w:rPr>
      </w:pPr>
      <w:r w:rsidRPr="00F84085">
        <w:rPr>
          <w:rFonts w:ascii="Times" w:eastAsia="Times New Roman" w:hAnsi="Times" w:cs="Times New Roman"/>
          <w:lang w:eastAsia="pl-PL"/>
        </w:rPr>
        <w:t>Kluczowe są częste mycie rąk (20 sekund z użyciem mydła i ciepłej wody), używanie środków odkażających o minimum 60% zawartości alkoholu oraz dezynfekcj</w:t>
      </w:r>
      <w:r w:rsidR="008D35F4">
        <w:rPr>
          <w:rFonts w:ascii="Times" w:eastAsia="Times New Roman" w:hAnsi="Times" w:cs="Times New Roman"/>
          <w:lang w:eastAsia="pl-PL"/>
        </w:rPr>
        <w:t>a</w:t>
      </w:r>
      <w:r w:rsidRPr="00F84085">
        <w:rPr>
          <w:rFonts w:ascii="Times" w:eastAsia="Times New Roman" w:hAnsi="Times" w:cs="Times New Roman"/>
          <w:lang w:eastAsia="pl-PL"/>
        </w:rPr>
        <w:t xml:space="preserve"> powierzchni.</w:t>
      </w:r>
    </w:p>
    <w:p w14:paraId="4E712792" w14:textId="02A96483" w:rsidR="00685F6C" w:rsidRPr="00F84085" w:rsidRDefault="00685F6C" w:rsidP="00E62C7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" w:eastAsia="Times New Roman" w:hAnsi="Times" w:cs="Times New Roman"/>
          <w:lang w:eastAsia="pl-PL"/>
        </w:rPr>
      </w:pPr>
      <w:r w:rsidRPr="00F84085">
        <w:rPr>
          <w:rFonts w:ascii="Times" w:eastAsia="Times New Roman" w:hAnsi="Times" w:cs="Times New Roman"/>
          <w:lang w:eastAsia="pl-PL"/>
        </w:rPr>
        <w:t>Opiekunowie powinni, o ile to możliwe, zamieszkać w domu pacjenta. Osoby, z którymi kontakt jest niezbędny (np. wsparcie technic</w:t>
      </w:r>
      <w:r w:rsidR="00E62C7F" w:rsidRPr="00F84085">
        <w:rPr>
          <w:rFonts w:ascii="Times" w:eastAsia="Times New Roman" w:hAnsi="Times" w:cs="Times New Roman"/>
          <w:lang w:eastAsia="pl-PL"/>
        </w:rPr>
        <w:t xml:space="preserve">zne </w:t>
      </w:r>
      <w:r w:rsidR="008D79CC">
        <w:rPr>
          <w:rFonts w:ascii="Times" w:eastAsia="Times New Roman" w:hAnsi="Times" w:cs="Times New Roman"/>
          <w:lang w:eastAsia="pl-PL"/>
        </w:rPr>
        <w:t xml:space="preserve">programu </w:t>
      </w:r>
      <w:r w:rsidR="00E62C7F" w:rsidRPr="00F84085">
        <w:rPr>
          <w:rFonts w:ascii="Times" w:eastAsia="Times New Roman" w:hAnsi="Times" w:cs="Times New Roman"/>
          <w:lang w:eastAsia="pl-PL"/>
        </w:rPr>
        <w:t>wentylacji domowej) powinny</w:t>
      </w:r>
      <w:r w:rsidRPr="00F84085">
        <w:rPr>
          <w:rFonts w:ascii="Times" w:eastAsia="Times New Roman" w:hAnsi="Times" w:cs="Times New Roman"/>
          <w:lang w:eastAsia="pl-PL"/>
        </w:rPr>
        <w:t xml:space="preserve"> nosić maski twarzowe i odpowiednie środki ochrony osobistej zgodnie z aktualnymi oficjalnymi wytycznymi, aby zapobiec przenoszeniu wirusa.</w:t>
      </w:r>
    </w:p>
    <w:p w14:paraId="6607DC0F" w14:textId="77777777" w:rsidR="00685F6C" w:rsidRPr="00F84085" w:rsidRDefault="00685F6C" w:rsidP="00E62C7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" w:eastAsia="Times New Roman" w:hAnsi="Times" w:cs="Times New Roman"/>
          <w:lang w:eastAsia="pl-PL"/>
        </w:rPr>
      </w:pPr>
      <w:r w:rsidRPr="00F84085">
        <w:rPr>
          <w:rFonts w:ascii="Times" w:eastAsia="Times New Roman" w:hAnsi="Times" w:cs="Times New Roman"/>
          <w:lang w:eastAsia="pl-PL"/>
        </w:rPr>
        <w:t>Od</w:t>
      </w:r>
      <w:r w:rsidR="00E62C7F" w:rsidRPr="00F84085">
        <w:rPr>
          <w:rFonts w:ascii="Times" w:eastAsia="Times New Roman" w:hAnsi="Times" w:cs="Times New Roman"/>
          <w:lang w:eastAsia="pl-PL"/>
        </w:rPr>
        <w:t>radza się wizyt</w:t>
      </w:r>
      <w:r w:rsidR="004E2C77" w:rsidRPr="00F84085">
        <w:rPr>
          <w:rFonts w:ascii="Times" w:eastAsia="Times New Roman" w:hAnsi="Times" w:cs="Times New Roman"/>
          <w:lang w:eastAsia="pl-PL"/>
        </w:rPr>
        <w:t xml:space="preserve"> fizjoterapeutów, zaleca się jednak</w:t>
      </w:r>
      <w:r w:rsidR="00E62C7F" w:rsidRPr="00F84085">
        <w:rPr>
          <w:rFonts w:ascii="Times" w:eastAsia="Times New Roman" w:hAnsi="Times" w:cs="Times New Roman"/>
          <w:lang w:eastAsia="pl-PL"/>
        </w:rPr>
        <w:t xml:space="preserve"> aby udzielali</w:t>
      </w:r>
      <w:r w:rsidR="004E2C77" w:rsidRPr="00F84085">
        <w:rPr>
          <w:rFonts w:ascii="Times" w:eastAsia="Times New Roman" w:hAnsi="Times" w:cs="Times New Roman"/>
          <w:lang w:eastAsia="pl-PL"/>
        </w:rPr>
        <w:t xml:space="preserve"> oni porad dotyczących utrzymywania aktywności fizycznej zdalnie, przez telefon lub wideolink.</w:t>
      </w:r>
    </w:p>
    <w:p w14:paraId="56922B5A" w14:textId="78E1E5FB" w:rsidR="004E2C77" w:rsidRPr="00F84085" w:rsidRDefault="004E2C77" w:rsidP="00E62C7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" w:eastAsia="Times New Roman" w:hAnsi="Times" w:cs="Times New Roman"/>
          <w:lang w:eastAsia="pl-PL"/>
        </w:rPr>
      </w:pPr>
      <w:r w:rsidRPr="00F84085">
        <w:rPr>
          <w:rFonts w:ascii="Times" w:eastAsia="Times New Roman" w:hAnsi="Times" w:cs="Times New Roman"/>
          <w:lang w:eastAsia="pl-PL"/>
        </w:rPr>
        <w:t xml:space="preserve">Ważne jest, aby być przygotowanym na wszelkie ewentualności, w tym nieobecność opiekuna z powodu choroby lub kwarantanny. Osoba odpowiedzialna za organizację opieki domowej powinna mieć na bieżąco wgląd w sytuację. Należy zaplanować, jak można najlepiej sprostać potrzebom danego pacjenta </w:t>
      </w:r>
      <w:r w:rsidR="008D79CC">
        <w:rPr>
          <w:rFonts w:ascii="Times" w:eastAsia="Times New Roman" w:hAnsi="Times" w:cs="Times New Roman"/>
          <w:lang w:eastAsia="pl-PL"/>
        </w:rPr>
        <w:t>unikając</w:t>
      </w:r>
      <w:r w:rsidRPr="00F84085">
        <w:rPr>
          <w:rFonts w:ascii="Times" w:eastAsia="Times New Roman" w:hAnsi="Times" w:cs="Times New Roman"/>
          <w:lang w:eastAsia="pl-PL"/>
        </w:rPr>
        <w:t xml:space="preserve"> hospitalizacji.</w:t>
      </w:r>
    </w:p>
    <w:p w14:paraId="4095F7DB" w14:textId="5C464756" w:rsidR="004E2C77" w:rsidRPr="00F84085" w:rsidRDefault="00255BB3" w:rsidP="00E62C7F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" w:hAnsi="Times" w:cs="Courier New"/>
          <w:color w:val="222222"/>
          <w:lang w:eastAsia="pl-PL"/>
        </w:rPr>
      </w:pPr>
      <w:r>
        <w:rPr>
          <w:rFonts w:ascii="Times" w:hAnsi="Times" w:cs="Courier New"/>
          <w:color w:val="222222"/>
          <w:lang w:eastAsia="pl-PL"/>
        </w:rPr>
        <w:t>Rozporządzenia</w:t>
      </w:r>
      <w:r w:rsidR="004E2C77" w:rsidRPr="00F84085">
        <w:rPr>
          <w:rFonts w:ascii="Times" w:hAnsi="Times" w:cs="Courier New"/>
          <w:color w:val="222222"/>
          <w:lang w:eastAsia="pl-PL"/>
        </w:rPr>
        <w:t xml:space="preserve"> rz</w:t>
      </w:r>
      <w:r w:rsidR="004E2C77" w:rsidRPr="00F84085">
        <w:rPr>
          <w:rFonts w:ascii="Times" w:eastAsia="Calibri" w:hAnsi="Times" w:cs="Calibri"/>
          <w:color w:val="222222"/>
          <w:lang w:eastAsia="pl-PL"/>
        </w:rPr>
        <w:t>ą</w:t>
      </w:r>
      <w:r w:rsidR="004E2C77" w:rsidRPr="00F84085">
        <w:rPr>
          <w:rFonts w:ascii="Times" w:hAnsi="Times" w:cs="Courier New"/>
          <w:color w:val="222222"/>
          <w:lang w:eastAsia="pl-PL"/>
        </w:rPr>
        <w:t>dowe dotycz</w:t>
      </w:r>
      <w:r w:rsidR="004E2C77" w:rsidRPr="00F84085">
        <w:rPr>
          <w:rFonts w:ascii="Times" w:eastAsia="Calibri" w:hAnsi="Times" w:cs="Calibri"/>
          <w:color w:val="222222"/>
          <w:lang w:eastAsia="pl-PL"/>
        </w:rPr>
        <w:t>ą</w:t>
      </w:r>
      <w:r w:rsidR="004E2C77" w:rsidRPr="00F84085">
        <w:rPr>
          <w:rFonts w:ascii="Times" w:hAnsi="Times" w:cs="Courier New"/>
          <w:color w:val="222222"/>
          <w:lang w:eastAsia="pl-PL"/>
        </w:rPr>
        <w:t xml:space="preserve">ce ochrony </w:t>
      </w:r>
      <w:r>
        <w:rPr>
          <w:rFonts w:ascii="Times" w:hAnsi="Times" w:cs="Courier New"/>
          <w:color w:val="222222"/>
          <w:lang w:eastAsia="pl-PL"/>
        </w:rPr>
        <w:t xml:space="preserve">przed zakażeniem </w:t>
      </w:r>
      <w:r w:rsidR="004E2C77" w:rsidRPr="00F84085">
        <w:rPr>
          <w:rFonts w:ascii="Times" w:hAnsi="Times" w:cs="Courier New"/>
          <w:color w:val="222222"/>
          <w:lang w:eastAsia="pl-PL"/>
        </w:rPr>
        <w:t>s</w:t>
      </w:r>
      <w:r w:rsidR="004E2C77" w:rsidRPr="00F84085">
        <w:rPr>
          <w:rFonts w:ascii="Times" w:eastAsia="Calibri" w:hAnsi="Times" w:cs="Calibri"/>
          <w:color w:val="222222"/>
          <w:lang w:eastAsia="pl-PL"/>
        </w:rPr>
        <w:t>ą</w:t>
      </w:r>
      <w:r w:rsidR="004E2C77" w:rsidRPr="00F84085">
        <w:rPr>
          <w:rFonts w:ascii="Times" w:hAnsi="Times" w:cs="Courier New"/>
          <w:color w:val="222222"/>
          <w:lang w:eastAsia="pl-PL"/>
        </w:rPr>
        <w:t xml:space="preserve"> regularnie aktualizowane, a autorzy radz</w:t>
      </w:r>
      <w:r w:rsidR="004E2C77" w:rsidRPr="00F84085">
        <w:rPr>
          <w:rFonts w:ascii="Times" w:eastAsia="Calibri" w:hAnsi="Times" w:cs="Calibri"/>
          <w:color w:val="222222"/>
          <w:lang w:eastAsia="pl-PL"/>
        </w:rPr>
        <w:t>ą</w:t>
      </w:r>
      <w:r w:rsidR="004E2C77" w:rsidRPr="00F84085">
        <w:rPr>
          <w:rFonts w:ascii="Times" w:hAnsi="Times" w:cs="Courier New"/>
          <w:color w:val="222222"/>
          <w:lang w:eastAsia="pl-PL"/>
        </w:rPr>
        <w:t xml:space="preserve"> pacjentom, opiekunom i pracownikom medycznym, aby post</w:t>
      </w:r>
      <w:r w:rsidR="004E2C77" w:rsidRPr="00F84085">
        <w:rPr>
          <w:rFonts w:ascii="Times" w:eastAsia="Calibri" w:hAnsi="Times" w:cs="Calibri"/>
          <w:color w:val="222222"/>
          <w:lang w:eastAsia="pl-PL"/>
        </w:rPr>
        <w:t>ę</w:t>
      </w:r>
      <w:r w:rsidR="004E2C77" w:rsidRPr="00F84085">
        <w:rPr>
          <w:rFonts w:ascii="Times" w:hAnsi="Times" w:cs="Courier New"/>
          <w:color w:val="222222"/>
          <w:lang w:eastAsia="pl-PL"/>
        </w:rPr>
        <w:t>powali zgodnie z aktualnymi zaleceniami z oficjalnych stron internetowych w ich kraju.</w:t>
      </w:r>
    </w:p>
    <w:p w14:paraId="5452766E" w14:textId="77777777" w:rsidR="004E2C77" w:rsidRPr="00F84085" w:rsidRDefault="004E2C77" w:rsidP="00E62C7F">
      <w:pPr>
        <w:spacing w:line="276" w:lineRule="auto"/>
        <w:ind w:left="360"/>
        <w:jc w:val="both"/>
        <w:rPr>
          <w:rFonts w:ascii="Times" w:eastAsia="Times New Roman" w:hAnsi="Times" w:cs="Times New Roman"/>
          <w:lang w:eastAsia="pl-PL"/>
        </w:rPr>
      </w:pPr>
    </w:p>
    <w:p w14:paraId="7A964D0C" w14:textId="7178B6C8" w:rsidR="004E2C77" w:rsidRDefault="004E2C77" w:rsidP="00E62C7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" w:eastAsia="Times New Roman" w:hAnsi="Times" w:cs="Times New Roman"/>
          <w:b/>
          <w:lang w:eastAsia="pl-PL"/>
        </w:rPr>
      </w:pPr>
      <w:r w:rsidRPr="00F84085">
        <w:rPr>
          <w:rFonts w:ascii="Times" w:eastAsia="Times New Roman" w:hAnsi="Times" w:cs="Times New Roman"/>
          <w:b/>
          <w:lang w:eastAsia="pl-PL"/>
        </w:rPr>
        <w:t>Jakie konsekwencje niesie za sobą ryzyko infekcji C</w:t>
      </w:r>
      <w:r w:rsidR="00D96B9F">
        <w:rPr>
          <w:rFonts w:ascii="Times" w:eastAsia="Times New Roman" w:hAnsi="Times" w:cs="Times New Roman"/>
          <w:b/>
          <w:lang w:eastAsia="pl-PL"/>
        </w:rPr>
        <w:t>OVID</w:t>
      </w:r>
      <w:r w:rsidR="00E62C7F" w:rsidRPr="00F84085">
        <w:rPr>
          <w:rFonts w:ascii="Times" w:eastAsia="Times New Roman" w:hAnsi="Times" w:cs="Times New Roman"/>
          <w:b/>
          <w:lang w:eastAsia="pl-PL"/>
        </w:rPr>
        <w:t xml:space="preserve">-19 dla leczenia </w:t>
      </w:r>
      <w:r w:rsidR="00D96B9F">
        <w:rPr>
          <w:rFonts w:ascii="Times" w:eastAsia="Times New Roman" w:hAnsi="Times" w:cs="Times New Roman"/>
          <w:b/>
          <w:lang w:eastAsia="pl-PL"/>
        </w:rPr>
        <w:t>stosowanego</w:t>
      </w:r>
      <w:r w:rsidR="00E62C7F" w:rsidRPr="00F84085">
        <w:rPr>
          <w:rFonts w:ascii="Times" w:eastAsia="Times New Roman" w:hAnsi="Times" w:cs="Times New Roman"/>
          <w:b/>
          <w:lang w:eastAsia="pl-PL"/>
        </w:rPr>
        <w:t xml:space="preserve"> u pacjentów z NMD?</w:t>
      </w:r>
    </w:p>
    <w:p w14:paraId="55713D6B" w14:textId="77777777" w:rsidR="00DF2F45" w:rsidRPr="00F84085" w:rsidRDefault="00DF2F45" w:rsidP="00DF2F45">
      <w:pPr>
        <w:pStyle w:val="Akapitzlist"/>
        <w:spacing w:line="276" w:lineRule="auto"/>
        <w:jc w:val="both"/>
        <w:rPr>
          <w:rFonts w:ascii="Times" w:eastAsia="Times New Roman" w:hAnsi="Times" w:cs="Times New Roman"/>
          <w:b/>
          <w:lang w:eastAsia="pl-PL"/>
        </w:rPr>
      </w:pPr>
    </w:p>
    <w:p w14:paraId="7316C58F" w14:textId="77777777" w:rsidR="00E62C7F" w:rsidRPr="00F84085" w:rsidRDefault="00E62C7F" w:rsidP="00E62C7F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" w:eastAsia="Times New Roman" w:hAnsi="Times" w:cs="Times New Roman"/>
          <w:lang w:eastAsia="pl-PL"/>
        </w:rPr>
      </w:pPr>
      <w:r w:rsidRPr="00F84085">
        <w:rPr>
          <w:rFonts w:ascii="Times" w:eastAsia="Times New Roman" w:hAnsi="Times" w:cs="Times New Roman"/>
          <w:lang w:eastAsia="pl-PL"/>
        </w:rPr>
        <w:t>Pacjenci muszą się upewnić, czy mają wystarczające zapasy leków i sprzętu do wentylacji wspomaganej na okres przedłużonej izolacji (co najmniej na miesiąc)</w:t>
      </w:r>
    </w:p>
    <w:p w14:paraId="4BA5F70F" w14:textId="7BC49959" w:rsidR="00E62C7F" w:rsidRPr="00F84085" w:rsidRDefault="0020686B" w:rsidP="00E62C7F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" w:eastAsia="Times New Roman" w:hAnsi="Times" w:cs="Times New Roman"/>
          <w:lang w:eastAsia="pl-PL"/>
        </w:rPr>
      </w:pPr>
      <w:r w:rsidRPr="00F84085">
        <w:rPr>
          <w:rFonts w:ascii="Times" w:eastAsia="Times New Roman" w:hAnsi="Times" w:cs="Times New Roman"/>
          <w:lang w:eastAsia="pl-PL"/>
        </w:rPr>
        <w:t xml:space="preserve">Pacjenci i ich opiekunowie powinni korzystać z apteki internetowej / e-recept/ usług </w:t>
      </w:r>
      <w:r w:rsidR="00D3054C">
        <w:rPr>
          <w:rFonts w:ascii="Times" w:eastAsia="Times New Roman" w:hAnsi="Times" w:cs="Times New Roman"/>
          <w:lang w:eastAsia="pl-PL"/>
        </w:rPr>
        <w:t>zdalnego</w:t>
      </w:r>
      <w:r w:rsidR="00726605">
        <w:rPr>
          <w:rFonts w:ascii="Times" w:eastAsia="Times New Roman" w:hAnsi="Times" w:cs="Times New Roman"/>
          <w:lang w:eastAsia="pl-PL"/>
        </w:rPr>
        <w:t xml:space="preserve"> </w:t>
      </w:r>
      <w:r w:rsidRPr="00F84085">
        <w:rPr>
          <w:rFonts w:ascii="Times" w:eastAsia="Times New Roman" w:hAnsi="Times" w:cs="Times New Roman"/>
          <w:lang w:eastAsia="pl-PL"/>
        </w:rPr>
        <w:t>zamawiania i dostarczania sprzętu</w:t>
      </w:r>
    </w:p>
    <w:p w14:paraId="3903DAE2" w14:textId="3033EC67" w:rsidR="004732E6" w:rsidRPr="00F84085" w:rsidRDefault="0020686B" w:rsidP="0020686B">
      <w:pPr>
        <w:pStyle w:val="Akapitzlist"/>
        <w:numPr>
          <w:ilvl w:val="0"/>
          <w:numId w:val="5"/>
        </w:numPr>
        <w:kinsoku w:val="0"/>
        <w:overflowPunct w:val="0"/>
        <w:spacing w:before="2" w:line="276" w:lineRule="auto"/>
        <w:ind w:right="239"/>
        <w:jc w:val="both"/>
        <w:rPr>
          <w:rFonts w:ascii="Times" w:hAnsi="Times"/>
          <w:color w:val="212121"/>
        </w:rPr>
      </w:pPr>
      <w:r w:rsidRPr="00F84085">
        <w:rPr>
          <w:rFonts w:ascii="Times" w:eastAsia="Times New Roman" w:hAnsi="Times" w:cs="Times New Roman"/>
          <w:lang w:eastAsia="pl-PL"/>
        </w:rPr>
        <w:t xml:space="preserve">Pacjenci i opiekunowie muszą </w:t>
      </w:r>
      <w:r w:rsidR="00ED6EF8">
        <w:rPr>
          <w:rFonts w:ascii="Times" w:eastAsia="Times New Roman" w:hAnsi="Times" w:cs="Times New Roman"/>
          <w:lang w:eastAsia="pl-PL"/>
        </w:rPr>
        <w:t xml:space="preserve">być </w:t>
      </w:r>
      <w:r w:rsidR="00814E62">
        <w:rPr>
          <w:rFonts w:ascii="Times" w:eastAsia="Times New Roman" w:hAnsi="Times" w:cs="Times New Roman"/>
          <w:lang w:eastAsia="pl-PL"/>
        </w:rPr>
        <w:t>dokładnie przeszkoleni w zakresie</w:t>
      </w:r>
      <w:r w:rsidR="00F52747">
        <w:rPr>
          <w:rFonts w:ascii="Times" w:eastAsia="Times New Roman" w:hAnsi="Times" w:cs="Times New Roman"/>
          <w:lang w:eastAsia="pl-PL"/>
        </w:rPr>
        <w:t xml:space="preserve"> procedur</w:t>
      </w:r>
      <w:r w:rsidR="00814E62">
        <w:rPr>
          <w:rFonts w:ascii="Times" w:eastAsia="Times New Roman" w:hAnsi="Times" w:cs="Times New Roman"/>
          <w:lang w:eastAsia="pl-PL"/>
        </w:rPr>
        <w:t xml:space="preserve"> ratunkowych</w:t>
      </w:r>
      <w:r w:rsidRPr="00F84085">
        <w:rPr>
          <w:rFonts w:ascii="Times" w:eastAsia="Times New Roman" w:hAnsi="Times" w:cs="Times New Roman"/>
          <w:lang w:eastAsia="pl-PL"/>
        </w:rPr>
        <w:t xml:space="preserve"> dostosowany</w:t>
      </w:r>
      <w:r w:rsidR="00D3054C">
        <w:rPr>
          <w:rFonts w:ascii="Times" w:eastAsia="Times New Roman" w:hAnsi="Times" w:cs="Times New Roman"/>
          <w:lang w:eastAsia="pl-PL"/>
        </w:rPr>
        <w:t>ch</w:t>
      </w:r>
      <w:r w:rsidRPr="00F84085">
        <w:rPr>
          <w:rFonts w:ascii="Times" w:eastAsia="Times New Roman" w:hAnsi="Times" w:cs="Times New Roman"/>
          <w:lang w:eastAsia="pl-PL"/>
        </w:rPr>
        <w:t xml:space="preserve"> do specyfiki </w:t>
      </w:r>
      <w:r w:rsidR="00F52747">
        <w:rPr>
          <w:rFonts w:ascii="Times" w:eastAsia="Times New Roman" w:hAnsi="Times" w:cs="Times New Roman"/>
          <w:lang w:eastAsia="pl-PL"/>
        </w:rPr>
        <w:t>ich schorzenia oraz z obsługą sprzętu medycznego</w:t>
      </w:r>
    </w:p>
    <w:p w14:paraId="63F0E12C" w14:textId="2B26222A" w:rsidR="0020686B" w:rsidRPr="00F84085" w:rsidRDefault="0020686B" w:rsidP="0020686B">
      <w:pPr>
        <w:pStyle w:val="Akapitzlist"/>
        <w:numPr>
          <w:ilvl w:val="0"/>
          <w:numId w:val="5"/>
        </w:numPr>
        <w:kinsoku w:val="0"/>
        <w:overflowPunct w:val="0"/>
        <w:spacing w:before="2" w:line="276" w:lineRule="auto"/>
        <w:ind w:right="239"/>
        <w:jc w:val="both"/>
        <w:rPr>
          <w:rFonts w:ascii="Times" w:hAnsi="Times"/>
          <w:color w:val="212121"/>
        </w:rPr>
      </w:pPr>
      <w:r w:rsidRPr="00F84085">
        <w:rPr>
          <w:rFonts w:ascii="Times" w:hAnsi="Times"/>
          <w:color w:val="212121"/>
        </w:rPr>
        <w:t xml:space="preserve">Pacjenci z </w:t>
      </w:r>
      <w:r w:rsidR="00D3054C">
        <w:rPr>
          <w:rFonts w:ascii="Times" w:hAnsi="Times"/>
          <w:color w:val="212121"/>
        </w:rPr>
        <w:t>dystrofią typu Duchenne’a (</w:t>
      </w:r>
      <w:r w:rsidRPr="00F84085">
        <w:rPr>
          <w:rFonts w:ascii="Times" w:hAnsi="Times"/>
          <w:color w:val="212121"/>
        </w:rPr>
        <w:t>DMD</w:t>
      </w:r>
      <w:r w:rsidR="00D3054C">
        <w:rPr>
          <w:rFonts w:ascii="Times" w:hAnsi="Times"/>
          <w:color w:val="212121"/>
        </w:rPr>
        <w:t>)</w:t>
      </w:r>
      <w:r w:rsidRPr="00F84085">
        <w:rPr>
          <w:rFonts w:ascii="Times" w:hAnsi="Times"/>
          <w:color w:val="212121"/>
        </w:rPr>
        <w:t xml:space="preserve"> leczeni sterydami powinni kontynuować terapię. Nie powinno się nagle odstawiać sterydów, a w sytuacji pogorszenia konieczne może być zwiększenie ich dawkowania. </w:t>
      </w:r>
    </w:p>
    <w:p w14:paraId="2AFB435B" w14:textId="51E77CC8" w:rsidR="0020686B" w:rsidRPr="00F84085" w:rsidRDefault="0020686B" w:rsidP="0020686B">
      <w:pPr>
        <w:pStyle w:val="Akapitzlist"/>
        <w:numPr>
          <w:ilvl w:val="0"/>
          <w:numId w:val="5"/>
        </w:numPr>
        <w:kinsoku w:val="0"/>
        <w:overflowPunct w:val="0"/>
        <w:spacing w:before="2" w:line="276" w:lineRule="auto"/>
        <w:ind w:right="239"/>
        <w:jc w:val="both"/>
        <w:rPr>
          <w:rFonts w:ascii="Times" w:hAnsi="Times"/>
          <w:color w:val="212121"/>
        </w:rPr>
      </w:pPr>
      <w:r w:rsidRPr="00F84085">
        <w:rPr>
          <w:rFonts w:ascii="Times" w:hAnsi="Times"/>
          <w:color w:val="212121"/>
        </w:rPr>
        <w:t>Nie należy pr</w:t>
      </w:r>
      <w:r w:rsidR="008F6412" w:rsidRPr="00F84085">
        <w:rPr>
          <w:rFonts w:ascii="Times" w:hAnsi="Times"/>
          <w:color w:val="212121"/>
        </w:rPr>
        <w:t xml:space="preserve">zerywać leczenia </w:t>
      </w:r>
      <w:r w:rsidR="006A2A06">
        <w:rPr>
          <w:rFonts w:ascii="Times" w:hAnsi="Times"/>
          <w:color w:val="212121"/>
        </w:rPr>
        <w:t>immunosupresyjnego w chorobach miopatiach i neuropatiach zapalnych i</w:t>
      </w:r>
      <w:r w:rsidR="008F6412" w:rsidRPr="00F84085">
        <w:rPr>
          <w:rFonts w:ascii="Times" w:hAnsi="Times"/>
          <w:color w:val="212121"/>
        </w:rPr>
        <w:t xml:space="preserve"> miastenii- z wyjątkiem szczególnych okoliczności po konsultacji ze specjalistą chorób nerwowo-mięśniowych. </w:t>
      </w:r>
    </w:p>
    <w:p w14:paraId="0453C2E5" w14:textId="706D3E90" w:rsidR="008F6412" w:rsidRPr="00F84085" w:rsidRDefault="008F6412" w:rsidP="0020686B">
      <w:pPr>
        <w:pStyle w:val="Akapitzlist"/>
        <w:numPr>
          <w:ilvl w:val="0"/>
          <w:numId w:val="5"/>
        </w:numPr>
        <w:kinsoku w:val="0"/>
        <w:overflowPunct w:val="0"/>
        <w:spacing w:before="2" w:line="276" w:lineRule="auto"/>
        <w:ind w:right="239"/>
        <w:jc w:val="both"/>
        <w:rPr>
          <w:rFonts w:ascii="Times" w:hAnsi="Times"/>
          <w:color w:val="212121"/>
        </w:rPr>
      </w:pPr>
      <w:r w:rsidRPr="00F84085">
        <w:rPr>
          <w:rFonts w:ascii="Times" w:hAnsi="Times"/>
          <w:color w:val="212121"/>
        </w:rPr>
        <w:t>Wymagania dotyczące izolacji mogą mieć wpływ na schematy leczenia wymagające procedur szpitalnych (tj. Nusinersen (Spinraza</w:t>
      </w:r>
      <w:r w:rsidR="00DB7BA3">
        <w:rPr>
          <w:rFonts w:ascii="Calibri" w:hAnsi="Calibri" w:cs="Calibri"/>
          <w:color w:val="212121"/>
        </w:rPr>
        <w:t>®</w:t>
      </w:r>
      <w:r w:rsidRPr="00F84085">
        <w:rPr>
          <w:rFonts w:ascii="Times" w:hAnsi="Times"/>
          <w:color w:val="212121"/>
        </w:rPr>
        <w:t>), alglukozydaza alfa (Myozyme</w:t>
      </w:r>
      <w:r w:rsidR="00DB7BA3">
        <w:rPr>
          <w:rFonts w:ascii="Calibri" w:hAnsi="Calibri" w:cs="Calibri"/>
          <w:color w:val="212121"/>
        </w:rPr>
        <w:t>®</w:t>
      </w:r>
      <w:r w:rsidRPr="00F84085">
        <w:rPr>
          <w:rFonts w:ascii="Times" w:hAnsi="Times"/>
          <w:color w:val="212121"/>
        </w:rPr>
        <w:t>)</w:t>
      </w:r>
      <w:r w:rsidR="00DB7BA3">
        <w:rPr>
          <w:rFonts w:ascii="Times" w:hAnsi="Times"/>
          <w:color w:val="212121"/>
        </w:rPr>
        <w:t>, immunoglobuliny dożylne, rituks</w:t>
      </w:r>
      <w:r w:rsidRPr="00F84085">
        <w:rPr>
          <w:rFonts w:ascii="Times" w:hAnsi="Times"/>
          <w:color w:val="212121"/>
        </w:rPr>
        <w:t xml:space="preserve">ymab lub leki podawane w ramach badań klinicznych). </w:t>
      </w:r>
      <w:r w:rsidR="000F1ACF">
        <w:rPr>
          <w:rFonts w:ascii="Times" w:hAnsi="Times"/>
          <w:color w:val="212121"/>
        </w:rPr>
        <w:t>T</w:t>
      </w:r>
      <w:r w:rsidR="005738BD" w:rsidRPr="00F84085">
        <w:rPr>
          <w:rFonts w:ascii="Times" w:hAnsi="Times"/>
          <w:color w:val="212121"/>
        </w:rPr>
        <w:t>erapii nie należy przerywać, ale w miarę możliwości przenosić je poza środowisko szpitala- podania w ramach wizyt domowych piel</w:t>
      </w:r>
      <w:r w:rsidR="00DB7BA3">
        <w:rPr>
          <w:rFonts w:ascii="Times" w:hAnsi="Times"/>
          <w:color w:val="212121"/>
        </w:rPr>
        <w:t>ęgniarek.</w:t>
      </w:r>
      <w:r w:rsidR="005738BD" w:rsidRPr="00F84085">
        <w:rPr>
          <w:rFonts w:ascii="Times" w:hAnsi="Times"/>
          <w:color w:val="212121"/>
        </w:rPr>
        <w:t xml:space="preserve"> Należy skonsultować się z ośrodkami </w:t>
      </w:r>
      <w:r w:rsidR="00CD78F0">
        <w:rPr>
          <w:rFonts w:ascii="Times" w:hAnsi="Times"/>
          <w:color w:val="212121"/>
        </w:rPr>
        <w:t>prowadzącymi badania kliniczne</w:t>
      </w:r>
      <w:r w:rsidR="005738BD" w:rsidRPr="00F84085">
        <w:rPr>
          <w:rFonts w:ascii="Times" w:hAnsi="Times"/>
          <w:color w:val="212121"/>
        </w:rPr>
        <w:t xml:space="preserve"> w celu uzyskania zaleceń dotyczących badań klinicznych.</w:t>
      </w:r>
    </w:p>
    <w:p w14:paraId="1C686D96" w14:textId="77777777" w:rsidR="00DA31D5" w:rsidRPr="00F84085" w:rsidRDefault="00DA31D5" w:rsidP="00DA31D5">
      <w:pPr>
        <w:pStyle w:val="Akapitzlist"/>
        <w:kinsoku w:val="0"/>
        <w:overflowPunct w:val="0"/>
        <w:spacing w:before="2" w:line="276" w:lineRule="auto"/>
        <w:ind w:left="1068" w:right="239"/>
        <w:jc w:val="both"/>
        <w:rPr>
          <w:rFonts w:ascii="Times" w:hAnsi="Times"/>
          <w:color w:val="212121"/>
        </w:rPr>
      </w:pPr>
    </w:p>
    <w:p w14:paraId="6D40D547" w14:textId="6EE2004E" w:rsidR="005738BD" w:rsidRPr="00F84085" w:rsidRDefault="005738BD" w:rsidP="005738BD">
      <w:pPr>
        <w:pStyle w:val="Akapitzlist"/>
        <w:numPr>
          <w:ilvl w:val="0"/>
          <w:numId w:val="2"/>
        </w:numPr>
        <w:kinsoku w:val="0"/>
        <w:overflowPunct w:val="0"/>
        <w:spacing w:before="2" w:line="276" w:lineRule="auto"/>
        <w:ind w:right="239"/>
        <w:jc w:val="both"/>
        <w:rPr>
          <w:rFonts w:ascii="Times" w:hAnsi="Times"/>
          <w:b/>
          <w:color w:val="212121"/>
        </w:rPr>
      </w:pPr>
      <w:r w:rsidRPr="00F84085">
        <w:rPr>
          <w:rFonts w:ascii="Times" w:hAnsi="Times"/>
          <w:b/>
          <w:color w:val="212121"/>
        </w:rPr>
        <w:lastRenderedPageBreak/>
        <w:t>Co</w:t>
      </w:r>
      <w:r w:rsidR="00624F4A">
        <w:rPr>
          <w:rFonts w:ascii="Times" w:hAnsi="Times"/>
          <w:b/>
          <w:color w:val="212121"/>
        </w:rPr>
        <w:t xml:space="preserve"> należy zrobić</w:t>
      </w:r>
      <w:r w:rsidRPr="00F84085">
        <w:rPr>
          <w:rFonts w:ascii="Times" w:hAnsi="Times"/>
          <w:b/>
          <w:color w:val="212121"/>
        </w:rPr>
        <w:t xml:space="preserve">, aby zapewnić wsparcie </w:t>
      </w:r>
      <w:r w:rsidR="00CD78F0">
        <w:rPr>
          <w:rFonts w:ascii="Times" w:hAnsi="Times"/>
          <w:b/>
          <w:color w:val="212121"/>
        </w:rPr>
        <w:t>oddechowe</w:t>
      </w:r>
      <w:r w:rsidRPr="00F84085">
        <w:rPr>
          <w:rFonts w:ascii="Times" w:hAnsi="Times"/>
          <w:b/>
          <w:color w:val="212121"/>
        </w:rPr>
        <w:t xml:space="preserve"> w czasie izolacji (</w:t>
      </w:r>
      <w:r w:rsidR="00DA31D5" w:rsidRPr="00F84085">
        <w:rPr>
          <w:rFonts w:ascii="Times" w:hAnsi="Times"/>
          <w:b/>
          <w:color w:val="212121"/>
        </w:rPr>
        <w:t>worki ambu, respiratory domowe itp.)</w:t>
      </w:r>
    </w:p>
    <w:p w14:paraId="6B42F110" w14:textId="77777777" w:rsidR="00DA31D5" w:rsidRPr="00F84085" w:rsidRDefault="00DA31D5" w:rsidP="00DA31D5">
      <w:pPr>
        <w:pStyle w:val="Akapitzlist"/>
        <w:kinsoku w:val="0"/>
        <w:overflowPunct w:val="0"/>
        <w:spacing w:before="2" w:line="276" w:lineRule="auto"/>
        <w:ind w:right="239"/>
        <w:jc w:val="both"/>
        <w:rPr>
          <w:rFonts w:ascii="Times" w:hAnsi="Times"/>
          <w:b/>
          <w:color w:val="212121"/>
        </w:rPr>
      </w:pPr>
    </w:p>
    <w:p w14:paraId="0226DECA" w14:textId="023D5E84" w:rsidR="005738BD" w:rsidRPr="00F84085" w:rsidRDefault="00624F4A" w:rsidP="0020686B">
      <w:pPr>
        <w:pStyle w:val="Akapitzlist"/>
        <w:numPr>
          <w:ilvl w:val="0"/>
          <w:numId w:val="5"/>
        </w:numPr>
        <w:kinsoku w:val="0"/>
        <w:overflowPunct w:val="0"/>
        <w:spacing w:before="2" w:line="276" w:lineRule="auto"/>
        <w:ind w:right="239"/>
        <w:jc w:val="both"/>
        <w:rPr>
          <w:rFonts w:ascii="Times" w:hAnsi="Times"/>
          <w:color w:val="212121"/>
        </w:rPr>
      </w:pPr>
      <w:r>
        <w:rPr>
          <w:rFonts w:ascii="Times" w:hAnsi="Times"/>
          <w:color w:val="212121"/>
        </w:rPr>
        <w:t>Ośrodki nerwowo-mięśniowe</w:t>
      </w:r>
      <w:r w:rsidR="00DA31D5" w:rsidRPr="00F84085">
        <w:rPr>
          <w:rFonts w:ascii="Times" w:hAnsi="Times"/>
          <w:color w:val="212121"/>
        </w:rPr>
        <w:t xml:space="preserve"> powinny oferować wsparcie w ramach porady telefonicznej.</w:t>
      </w:r>
    </w:p>
    <w:p w14:paraId="283D951F" w14:textId="77777777" w:rsidR="00DA31D5" w:rsidRPr="00F84085" w:rsidRDefault="00DA31D5" w:rsidP="0020686B">
      <w:pPr>
        <w:pStyle w:val="Akapitzlist"/>
        <w:numPr>
          <w:ilvl w:val="0"/>
          <w:numId w:val="5"/>
        </w:numPr>
        <w:kinsoku w:val="0"/>
        <w:overflowPunct w:val="0"/>
        <w:spacing w:before="2" w:line="276" w:lineRule="auto"/>
        <w:ind w:right="239"/>
        <w:jc w:val="both"/>
        <w:rPr>
          <w:rFonts w:ascii="Times" w:hAnsi="Times"/>
          <w:color w:val="212121"/>
        </w:rPr>
      </w:pPr>
      <w:r w:rsidRPr="00F84085">
        <w:rPr>
          <w:rFonts w:ascii="Times" w:hAnsi="Times"/>
          <w:color w:val="212121"/>
        </w:rPr>
        <w:t>Pacjenci powinni mieć przy sobie informację (np. w formie bransoletki) o schorzeniu nerwowo-mięśniowym z telefonem kontaktowym do ośrodka referencyjnego</w:t>
      </w:r>
    </w:p>
    <w:p w14:paraId="5D8E8068" w14:textId="566544B4" w:rsidR="00DA31D5" w:rsidRPr="00624F4A" w:rsidRDefault="00DA31D5" w:rsidP="00DF2F45">
      <w:pPr>
        <w:pStyle w:val="Akapitzlist"/>
        <w:numPr>
          <w:ilvl w:val="0"/>
          <w:numId w:val="5"/>
        </w:numPr>
        <w:shd w:val="clear" w:color="auto" w:fill="FFFFFF" w:themeFill="background1"/>
        <w:rPr>
          <w:rFonts w:ascii="Times" w:eastAsia="Times New Roman" w:hAnsi="Times" w:cs="Times New Roman"/>
          <w:lang w:eastAsia="pl-PL"/>
        </w:rPr>
      </w:pPr>
      <w:r w:rsidRPr="00DF2F45">
        <w:rPr>
          <w:rFonts w:ascii="Times" w:eastAsia="Times New Roman" w:hAnsi="Times" w:cs="Arial"/>
          <w:color w:val="222222"/>
          <w:lang w:eastAsia="pl-PL"/>
        </w:rPr>
        <w:t>Ośrodki nerwowo-mięśniowe powinny aktywnie kontaktować się z pacjentami korzystającymi ze wsparcia wentylacyjnego</w:t>
      </w:r>
      <w:r w:rsidR="00CE57C4">
        <w:rPr>
          <w:rFonts w:ascii="Times" w:eastAsia="Times New Roman" w:hAnsi="Times" w:cs="Arial"/>
          <w:color w:val="222222"/>
          <w:lang w:eastAsia="pl-PL"/>
        </w:rPr>
        <w:t xml:space="preserve"> (program respiratoroterapii domowej)</w:t>
      </w:r>
      <w:r w:rsidRPr="00DF2F45">
        <w:rPr>
          <w:rFonts w:ascii="Times" w:eastAsia="Times New Roman" w:hAnsi="Times" w:cs="Arial"/>
          <w:color w:val="222222"/>
          <w:lang w:eastAsia="pl-PL"/>
        </w:rPr>
        <w:t>, aby upewnić się, że posiadają odpowiednie informacje i odpowiedni sprzęt</w:t>
      </w:r>
      <w:r w:rsidRPr="00F84085">
        <w:rPr>
          <w:rFonts w:ascii="Times" w:eastAsia="Times New Roman" w:hAnsi="Times" w:cs="Arial"/>
          <w:color w:val="222222"/>
          <w:shd w:val="clear" w:color="auto" w:fill="F8F9FA"/>
          <w:lang w:eastAsia="pl-PL"/>
        </w:rPr>
        <w:t>.</w:t>
      </w:r>
    </w:p>
    <w:p w14:paraId="075F94FF" w14:textId="77777777" w:rsidR="00624F4A" w:rsidRPr="00F84085" w:rsidRDefault="00624F4A" w:rsidP="00624F4A">
      <w:pPr>
        <w:pStyle w:val="Akapitzlist"/>
        <w:ind w:left="1068"/>
        <w:rPr>
          <w:rFonts w:ascii="Times" w:eastAsia="Times New Roman" w:hAnsi="Times" w:cs="Times New Roman"/>
          <w:lang w:eastAsia="pl-PL"/>
        </w:rPr>
      </w:pPr>
    </w:p>
    <w:p w14:paraId="3EE104D3" w14:textId="77777777" w:rsidR="00DA31D5" w:rsidRDefault="00DA31D5" w:rsidP="00DA31D5">
      <w:pPr>
        <w:pStyle w:val="Akapitzlist"/>
        <w:numPr>
          <w:ilvl w:val="0"/>
          <w:numId w:val="2"/>
        </w:numPr>
        <w:kinsoku w:val="0"/>
        <w:overflowPunct w:val="0"/>
        <w:spacing w:before="2" w:line="276" w:lineRule="auto"/>
        <w:ind w:right="239"/>
        <w:jc w:val="both"/>
        <w:rPr>
          <w:rFonts w:ascii="Times" w:hAnsi="Times"/>
          <w:b/>
          <w:color w:val="212121"/>
        </w:rPr>
      </w:pPr>
      <w:r w:rsidRPr="00624F4A">
        <w:rPr>
          <w:rFonts w:ascii="Times" w:hAnsi="Times"/>
          <w:b/>
          <w:color w:val="212121"/>
        </w:rPr>
        <w:t>Kiedy pacjenci z NMD wymagają hospitalizacji w przypadku rozwijania objawów infekcji?</w:t>
      </w:r>
    </w:p>
    <w:p w14:paraId="505E8716" w14:textId="77777777" w:rsidR="00DF2F45" w:rsidRPr="00624F4A" w:rsidRDefault="00DF2F45" w:rsidP="00DF2F45">
      <w:pPr>
        <w:pStyle w:val="Akapitzlist"/>
        <w:kinsoku w:val="0"/>
        <w:overflowPunct w:val="0"/>
        <w:spacing w:before="2" w:line="276" w:lineRule="auto"/>
        <w:ind w:right="239"/>
        <w:jc w:val="both"/>
        <w:rPr>
          <w:rFonts w:ascii="Times" w:hAnsi="Times"/>
          <w:b/>
          <w:color w:val="212121"/>
        </w:rPr>
      </w:pPr>
    </w:p>
    <w:p w14:paraId="5982F3D5" w14:textId="49342713" w:rsidR="00DA31D5" w:rsidRPr="00F84085" w:rsidRDefault="00DA31D5" w:rsidP="00DA31D5">
      <w:pPr>
        <w:kinsoku w:val="0"/>
        <w:overflowPunct w:val="0"/>
        <w:spacing w:before="2" w:line="276" w:lineRule="auto"/>
        <w:ind w:left="360" w:right="239"/>
        <w:jc w:val="both"/>
        <w:rPr>
          <w:rFonts w:ascii="Times" w:hAnsi="Times"/>
          <w:color w:val="212121"/>
        </w:rPr>
      </w:pPr>
      <w:r w:rsidRPr="00F84085">
        <w:rPr>
          <w:rFonts w:ascii="Times" w:hAnsi="Times"/>
          <w:color w:val="212121"/>
        </w:rPr>
        <w:t>W miarę możliwości należy unikać hospitalizacji, ale nie należy jej opóźniać, jeśli pacjent tego wymaga. Decyzja jest trudna. Pacjenci z chorobami nerwowo-mięśniow</w:t>
      </w:r>
      <w:r w:rsidR="00764640">
        <w:rPr>
          <w:rFonts w:ascii="Times" w:hAnsi="Times"/>
          <w:color w:val="212121"/>
        </w:rPr>
        <w:t>y</w:t>
      </w:r>
      <w:r w:rsidRPr="00F84085">
        <w:rPr>
          <w:rFonts w:ascii="Times" w:hAnsi="Times"/>
          <w:color w:val="212121"/>
        </w:rPr>
        <w:t xml:space="preserve">mi powinni być świadomi, że: </w:t>
      </w:r>
    </w:p>
    <w:p w14:paraId="0FD122C6" w14:textId="77777777" w:rsidR="00DA31D5" w:rsidRPr="00F84085" w:rsidRDefault="00DA31D5" w:rsidP="00DA31D5">
      <w:pPr>
        <w:pStyle w:val="Akapitzlist"/>
        <w:numPr>
          <w:ilvl w:val="0"/>
          <w:numId w:val="6"/>
        </w:numPr>
        <w:kinsoku w:val="0"/>
        <w:overflowPunct w:val="0"/>
        <w:spacing w:before="2" w:line="276" w:lineRule="auto"/>
        <w:ind w:right="239"/>
        <w:jc w:val="both"/>
        <w:rPr>
          <w:rFonts w:ascii="Times" w:hAnsi="Times"/>
          <w:color w:val="212121"/>
        </w:rPr>
      </w:pPr>
      <w:r w:rsidRPr="00F84085">
        <w:rPr>
          <w:rFonts w:ascii="Times" w:hAnsi="Times"/>
          <w:color w:val="212121"/>
        </w:rPr>
        <w:t>Izby przyjęć, SOR-y i służby ratunkowe mogą być przeciążone.</w:t>
      </w:r>
    </w:p>
    <w:p w14:paraId="652FCB16" w14:textId="756EC009" w:rsidR="00601B4C" w:rsidRPr="00F84085" w:rsidRDefault="00615CCB" w:rsidP="00A70783">
      <w:pPr>
        <w:pStyle w:val="Akapitzlist"/>
        <w:numPr>
          <w:ilvl w:val="0"/>
          <w:numId w:val="6"/>
        </w:numPr>
        <w:kinsoku w:val="0"/>
        <w:overflowPunct w:val="0"/>
        <w:spacing w:before="2" w:line="276" w:lineRule="auto"/>
        <w:ind w:right="239"/>
        <w:jc w:val="both"/>
        <w:rPr>
          <w:rFonts w:ascii="Times" w:hAnsi="Times"/>
        </w:rPr>
      </w:pPr>
      <w:r w:rsidRPr="00F84085">
        <w:rPr>
          <w:rFonts w:ascii="Times" w:hAnsi="Times"/>
          <w:color w:val="212121"/>
        </w:rPr>
        <w:t>W niektórych krajach mogą obowiązywać procedury triage-u. Mogą one wpłynąć na możliwość przyjęcia pacjentów z chorobą nerwowo-mięśniową</w:t>
      </w:r>
      <w:r w:rsidR="00624F4A">
        <w:rPr>
          <w:rFonts w:ascii="Times" w:hAnsi="Times"/>
          <w:color w:val="212121"/>
        </w:rPr>
        <w:t xml:space="preserve"> </w:t>
      </w:r>
      <w:r w:rsidR="00624F4A" w:rsidRPr="00F84085">
        <w:rPr>
          <w:rFonts w:ascii="Times" w:hAnsi="Times"/>
          <w:color w:val="212121"/>
        </w:rPr>
        <w:t>wymagających wentylacji</w:t>
      </w:r>
      <w:r w:rsidRPr="00F84085">
        <w:rPr>
          <w:rFonts w:ascii="Times" w:hAnsi="Times"/>
          <w:color w:val="212121"/>
        </w:rPr>
        <w:t xml:space="preserve"> do oddziału intensywnej opieki medycznej. W szczególności pojęcia „nieuleczalny” i „nie nadający się do leczenia” mogą być mylone. Schorzenia nerwowo-mięśniowe mogą być nieuleczalne, ale nie są nie nadające się do leczenia, a implikacje decyzji terapeutycznych mogą być bardzo różne.</w:t>
      </w:r>
    </w:p>
    <w:p w14:paraId="758EFDEE" w14:textId="453AB3D5" w:rsidR="00615CCB" w:rsidRPr="00F84085" w:rsidRDefault="00615CCB" w:rsidP="00615CCB">
      <w:pPr>
        <w:pStyle w:val="HTML-wstpniesformatowany"/>
        <w:numPr>
          <w:ilvl w:val="0"/>
          <w:numId w:val="6"/>
        </w:numPr>
        <w:spacing w:line="276" w:lineRule="auto"/>
        <w:rPr>
          <w:rFonts w:ascii="Times" w:hAnsi="Times"/>
          <w:color w:val="222222"/>
          <w:sz w:val="24"/>
          <w:szCs w:val="24"/>
        </w:rPr>
      </w:pPr>
      <w:r w:rsidRPr="00F84085">
        <w:rPr>
          <w:rFonts w:ascii="inherit" w:hAnsi="inherit"/>
          <w:color w:val="222222"/>
          <w:sz w:val="24"/>
          <w:szCs w:val="24"/>
        </w:rPr>
        <w:t xml:space="preserve"> </w:t>
      </w:r>
      <w:r w:rsidRPr="00F84085">
        <w:rPr>
          <w:rFonts w:ascii="Times" w:hAnsi="Times"/>
          <w:color w:val="222222"/>
          <w:sz w:val="24"/>
          <w:szCs w:val="24"/>
        </w:rPr>
        <w:t>Korzystanie ze sprz</w:t>
      </w:r>
      <w:r w:rsidRPr="00F84085">
        <w:rPr>
          <w:rFonts w:ascii="Times" w:eastAsia="Calibri" w:hAnsi="Times" w:cs="Calibri"/>
          <w:color w:val="222222"/>
          <w:sz w:val="24"/>
          <w:szCs w:val="24"/>
        </w:rPr>
        <w:t>ę</w:t>
      </w:r>
      <w:r w:rsidRPr="00F84085">
        <w:rPr>
          <w:rFonts w:ascii="Times" w:hAnsi="Times"/>
          <w:color w:val="222222"/>
          <w:sz w:val="24"/>
          <w:szCs w:val="24"/>
        </w:rPr>
        <w:t xml:space="preserve">tu domowego pacjentów (np. </w:t>
      </w:r>
      <w:r w:rsidR="009A65BA">
        <w:rPr>
          <w:rFonts w:ascii="Times" w:hAnsi="Times"/>
          <w:color w:val="222222"/>
          <w:sz w:val="24"/>
          <w:szCs w:val="24"/>
        </w:rPr>
        <w:t xml:space="preserve">respiratorów) </w:t>
      </w:r>
      <w:r w:rsidRPr="00F84085">
        <w:rPr>
          <w:rFonts w:ascii="Times" w:hAnsi="Times"/>
          <w:color w:val="222222"/>
          <w:sz w:val="24"/>
          <w:szCs w:val="24"/>
        </w:rPr>
        <w:t>mo</w:t>
      </w:r>
      <w:r w:rsidRPr="00F84085">
        <w:rPr>
          <w:rFonts w:ascii="Times" w:eastAsia="Calibri" w:hAnsi="Times" w:cs="Calibri"/>
          <w:color w:val="222222"/>
          <w:sz w:val="24"/>
          <w:szCs w:val="24"/>
        </w:rPr>
        <w:t>ż</w:t>
      </w:r>
      <w:r w:rsidRPr="00F84085">
        <w:rPr>
          <w:rFonts w:ascii="Times" w:hAnsi="Times"/>
          <w:color w:val="222222"/>
          <w:sz w:val="24"/>
          <w:szCs w:val="24"/>
        </w:rPr>
        <w:t>e by</w:t>
      </w:r>
      <w:r w:rsidRPr="00F84085">
        <w:rPr>
          <w:rFonts w:ascii="Times" w:eastAsia="Calibri" w:hAnsi="Times" w:cs="Calibri"/>
          <w:color w:val="222222"/>
          <w:sz w:val="24"/>
          <w:szCs w:val="24"/>
        </w:rPr>
        <w:t>ć</w:t>
      </w:r>
      <w:r w:rsidRPr="00F84085">
        <w:rPr>
          <w:rFonts w:ascii="Times" w:hAnsi="Times"/>
          <w:color w:val="222222"/>
          <w:sz w:val="24"/>
          <w:szCs w:val="24"/>
        </w:rPr>
        <w:t xml:space="preserve"> </w:t>
      </w:r>
      <w:r w:rsidR="00764640">
        <w:rPr>
          <w:rFonts w:ascii="Times" w:hAnsi="Times"/>
          <w:color w:val="222222"/>
          <w:sz w:val="24"/>
          <w:szCs w:val="24"/>
        </w:rPr>
        <w:t xml:space="preserve">niezgodne z zasadami </w:t>
      </w:r>
      <w:r w:rsidRPr="00F84085">
        <w:rPr>
          <w:rFonts w:ascii="Times" w:hAnsi="Times"/>
          <w:color w:val="222222"/>
          <w:sz w:val="24"/>
          <w:szCs w:val="24"/>
        </w:rPr>
        <w:t>kontroli zaka</w:t>
      </w:r>
      <w:r w:rsidRPr="00F84085">
        <w:rPr>
          <w:rFonts w:ascii="Times" w:eastAsia="Calibri" w:hAnsi="Times" w:cs="Calibri"/>
          <w:color w:val="222222"/>
          <w:sz w:val="24"/>
          <w:szCs w:val="24"/>
        </w:rPr>
        <w:t>ż</w:t>
      </w:r>
      <w:r w:rsidRPr="00F84085">
        <w:rPr>
          <w:rFonts w:ascii="Times" w:hAnsi="Times"/>
          <w:color w:val="222222"/>
          <w:sz w:val="24"/>
          <w:szCs w:val="24"/>
        </w:rPr>
        <w:t>e</w:t>
      </w:r>
      <w:r w:rsidRPr="00F84085">
        <w:rPr>
          <w:rFonts w:ascii="Times" w:eastAsia="Calibri" w:hAnsi="Times" w:cs="Calibri"/>
          <w:color w:val="222222"/>
          <w:sz w:val="24"/>
          <w:szCs w:val="24"/>
        </w:rPr>
        <w:t>ń</w:t>
      </w:r>
      <w:r w:rsidR="00373E46">
        <w:rPr>
          <w:rFonts w:ascii="Times" w:hAnsi="Times"/>
          <w:color w:val="222222"/>
          <w:sz w:val="24"/>
          <w:szCs w:val="24"/>
        </w:rPr>
        <w:t xml:space="preserve"> w szpitalach</w:t>
      </w:r>
      <w:r w:rsidR="00F1062A">
        <w:rPr>
          <w:rFonts w:ascii="Times" w:hAnsi="Times"/>
          <w:color w:val="222222"/>
          <w:sz w:val="24"/>
          <w:szCs w:val="24"/>
        </w:rPr>
        <w:t xml:space="preserve"> w niektórych krajach</w:t>
      </w:r>
      <w:r w:rsidR="00373E46">
        <w:rPr>
          <w:rFonts w:ascii="Times" w:hAnsi="Times"/>
          <w:color w:val="222222"/>
          <w:sz w:val="24"/>
          <w:szCs w:val="24"/>
        </w:rPr>
        <w:t xml:space="preserve">. </w:t>
      </w:r>
      <w:r w:rsidRPr="00F84085">
        <w:rPr>
          <w:rFonts w:ascii="Times" w:hAnsi="Times"/>
          <w:color w:val="222222"/>
          <w:sz w:val="24"/>
          <w:szCs w:val="24"/>
        </w:rPr>
        <w:t>Idealnie, na taką okoliczność powinien istnie</w:t>
      </w:r>
      <w:r w:rsidRPr="00F84085">
        <w:rPr>
          <w:rFonts w:ascii="Times" w:eastAsia="Calibri" w:hAnsi="Times" w:cs="Calibri"/>
          <w:color w:val="222222"/>
          <w:sz w:val="24"/>
          <w:szCs w:val="24"/>
        </w:rPr>
        <w:t>ć</w:t>
      </w:r>
      <w:r w:rsidRPr="00F84085">
        <w:rPr>
          <w:rFonts w:ascii="Times" w:hAnsi="Times"/>
          <w:color w:val="222222"/>
          <w:sz w:val="24"/>
          <w:szCs w:val="24"/>
        </w:rPr>
        <w:t xml:space="preserve"> plan rezerwowy.</w:t>
      </w:r>
    </w:p>
    <w:p w14:paraId="09B085BB" w14:textId="77777777" w:rsidR="00615CCB" w:rsidRPr="00F84085" w:rsidRDefault="00615CCB" w:rsidP="00615CCB">
      <w:pPr>
        <w:pStyle w:val="HTML-wstpniesformatowany"/>
        <w:spacing w:line="276" w:lineRule="auto"/>
        <w:ind w:left="1080"/>
        <w:rPr>
          <w:rFonts w:ascii="Times" w:hAnsi="Times"/>
          <w:color w:val="222222"/>
          <w:sz w:val="24"/>
          <w:szCs w:val="24"/>
        </w:rPr>
      </w:pPr>
    </w:p>
    <w:p w14:paraId="54070A8F" w14:textId="77777777" w:rsidR="00615CCB" w:rsidRPr="00F84085" w:rsidRDefault="00615CCB" w:rsidP="00615CCB">
      <w:pPr>
        <w:pStyle w:val="Akapitzlist"/>
        <w:numPr>
          <w:ilvl w:val="0"/>
          <w:numId w:val="2"/>
        </w:numPr>
        <w:kinsoku w:val="0"/>
        <w:overflowPunct w:val="0"/>
        <w:spacing w:before="2" w:line="276" w:lineRule="auto"/>
        <w:ind w:right="239"/>
        <w:jc w:val="both"/>
        <w:rPr>
          <w:rFonts w:ascii="Times" w:hAnsi="Times"/>
          <w:b/>
        </w:rPr>
      </w:pPr>
      <w:r w:rsidRPr="00F84085">
        <w:rPr>
          <w:rFonts w:ascii="Times" w:hAnsi="Times"/>
          <w:b/>
        </w:rPr>
        <w:t>Czy leczenie Covid-19 może mieć wpływ na schorzenie nerwowo-mięśniowe?</w:t>
      </w:r>
    </w:p>
    <w:p w14:paraId="2D2CEF8F" w14:textId="77777777" w:rsidR="00615CCB" w:rsidRPr="00F84085" w:rsidRDefault="00615CCB" w:rsidP="00615CCB">
      <w:pPr>
        <w:kinsoku w:val="0"/>
        <w:overflowPunct w:val="0"/>
        <w:spacing w:before="2" w:line="276" w:lineRule="auto"/>
        <w:ind w:right="239"/>
        <w:jc w:val="both"/>
        <w:rPr>
          <w:rFonts w:ascii="Times" w:hAnsi="Times"/>
          <w:b/>
        </w:rPr>
      </w:pPr>
    </w:p>
    <w:p w14:paraId="2FEF1219" w14:textId="0B98639F" w:rsidR="00615CCB" w:rsidRPr="00F84085" w:rsidRDefault="00615CCB" w:rsidP="00615CCB">
      <w:pPr>
        <w:pStyle w:val="Akapitzlist"/>
        <w:numPr>
          <w:ilvl w:val="0"/>
          <w:numId w:val="7"/>
        </w:numPr>
        <w:kinsoku w:val="0"/>
        <w:overflowPunct w:val="0"/>
        <w:spacing w:before="2" w:line="276" w:lineRule="auto"/>
        <w:ind w:right="239"/>
        <w:jc w:val="both"/>
        <w:rPr>
          <w:rFonts w:ascii="Times" w:hAnsi="Times"/>
          <w:b/>
        </w:rPr>
      </w:pPr>
      <w:r w:rsidRPr="00F84085">
        <w:rPr>
          <w:rFonts w:ascii="Times" w:hAnsi="Times"/>
        </w:rPr>
        <w:t xml:space="preserve">Wiele metod leczenia Covid-19 jest obecnie </w:t>
      </w:r>
      <w:r w:rsidR="00CE058D">
        <w:rPr>
          <w:rFonts w:ascii="Times" w:hAnsi="Times"/>
        </w:rPr>
        <w:t>w trakcie badań</w:t>
      </w:r>
      <w:r w:rsidRPr="00F84085">
        <w:rPr>
          <w:rFonts w:ascii="Times" w:hAnsi="Times"/>
        </w:rPr>
        <w:t xml:space="preserve">. Niektóre z nich mogą znacząco wpłynąć na </w:t>
      </w:r>
      <w:r w:rsidRPr="00F84085">
        <w:rPr>
          <w:rFonts w:ascii="Times" w:hAnsi="Times" w:hint="eastAsia"/>
        </w:rPr>
        <w:t>czynność</w:t>
      </w:r>
      <w:r w:rsidRPr="00F84085">
        <w:rPr>
          <w:rFonts w:ascii="Times" w:hAnsi="Times"/>
        </w:rPr>
        <w:t xml:space="preserve"> płytki nerwowo-mięśniowej, np. chlorochina i azytromycyna są lekami </w:t>
      </w:r>
      <w:r w:rsidR="00CE058D">
        <w:rPr>
          <w:rFonts w:ascii="Times" w:hAnsi="Times"/>
        </w:rPr>
        <w:t xml:space="preserve">potencjalnie </w:t>
      </w:r>
      <w:r w:rsidRPr="00F84085">
        <w:rPr>
          <w:rFonts w:ascii="Times" w:hAnsi="Times"/>
        </w:rPr>
        <w:t xml:space="preserve">niebezpiecznymi w miastenii, z wyjątkiem sytuacji dostępności wsparcia </w:t>
      </w:r>
      <w:r w:rsidR="00CE058D">
        <w:rPr>
          <w:rFonts w:ascii="Times" w:hAnsi="Times"/>
        </w:rPr>
        <w:t>oddechowego (repiratoroterapii)</w:t>
      </w:r>
      <w:r w:rsidRPr="00F84085">
        <w:rPr>
          <w:rFonts w:ascii="Times" w:hAnsi="Times"/>
        </w:rPr>
        <w:t>.</w:t>
      </w:r>
    </w:p>
    <w:p w14:paraId="01961810" w14:textId="1E90C7E2" w:rsidR="00615CCB" w:rsidRPr="00F84085" w:rsidRDefault="00615CCB" w:rsidP="00615CCB">
      <w:pPr>
        <w:pStyle w:val="Akapitzlist"/>
        <w:numPr>
          <w:ilvl w:val="0"/>
          <w:numId w:val="7"/>
        </w:numPr>
        <w:kinsoku w:val="0"/>
        <w:overflowPunct w:val="0"/>
        <w:spacing w:before="2" w:line="276" w:lineRule="auto"/>
        <w:ind w:right="239"/>
        <w:jc w:val="both"/>
        <w:rPr>
          <w:rFonts w:ascii="Times" w:hAnsi="Times"/>
          <w:b/>
        </w:rPr>
      </w:pPr>
      <w:r w:rsidRPr="00F84085">
        <w:rPr>
          <w:rFonts w:ascii="Times" w:hAnsi="Times"/>
        </w:rPr>
        <w:t xml:space="preserve">Inne metody leczenia mogą mieć wpływ na określone choroby nerwowo-mięśniowe (w szczególności choroby metaboliczne, mitochondrialne, </w:t>
      </w:r>
      <w:r w:rsidR="00FC7FDC">
        <w:rPr>
          <w:rFonts w:ascii="Times" w:hAnsi="Times"/>
        </w:rPr>
        <w:t xml:space="preserve">zespoły </w:t>
      </w:r>
      <w:r w:rsidRPr="00F84085">
        <w:rPr>
          <w:rFonts w:ascii="Times" w:hAnsi="Times"/>
        </w:rPr>
        <w:t>miotoni</w:t>
      </w:r>
      <w:r w:rsidR="00CE058D">
        <w:rPr>
          <w:rFonts w:ascii="Times" w:hAnsi="Times"/>
        </w:rPr>
        <w:t>ę</w:t>
      </w:r>
      <w:r w:rsidR="00944C25">
        <w:rPr>
          <w:rFonts w:ascii="Times" w:hAnsi="Times"/>
        </w:rPr>
        <w:t xml:space="preserve"> </w:t>
      </w:r>
      <w:r w:rsidRPr="00F84085">
        <w:rPr>
          <w:rFonts w:ascii="Times" w:hAnsi="Times"/>
        </w:rPr>
        <w:t>i choroby złącza nerwowo-mięśniowego)</w:t>
      </w:r>
      <w:r w:rsidR="00CE058D">
        <w:rPr>
          <w:rFonts w:ascii="Times" w:hAnsi="Times"/>
        </w:rPr>
        <w:t>,</w:t>
      </w:r>
      <w:r w:rsidRPr="00F84085">
        <w:rPr>
          <w:rFonts w:ascii="Times" w:hAnsi="Times"/>
        </w:rPr>
        <w:t xml:space="preserve"> a </w:t>
      </w:r>
      <w:r w:rsidR="005C187C">
        <w:rPr>
          <w:rFonts w:ascii="Times" w:hAnsi="Times"/>
        </w:rPr>
        <w:t>cechy</w:t>
      </w:r>
      <w:r w:rsidRPr="00F84085">
        <w:rPr>
          <w:rFonts w:ascii="Times" w:hAnsi="Times"/>
        </w:rPr>
        <w:t xml:space="preserve"> anatomiczne</w:t>
      </w:r>
      <w:r w:rsidR="00CE058D">
        <w:rPr>
          <w:rFonts w:ascii="Times" w:hAnsi="Times"/>
        </w:rPr>
        <w:t xml:space="preserve"> pacjenta</w:t>
      </w:r>
      <w:r w:rsidRPr="00F84085">
        <w:rPr>
          <w:rFonts w:ascii="Times" w:hAnsi="Times"/>
        </w:rPr>
        <w:t xml:space="preserve"> mogą mieć wpływ na opcje lecznicze (np.</w:t>
      </w:r>
      <w:r w:rsidR="005C187C">
        <w:rPr>
          <w:rFonts w:ascii="Times" w:hAnsi="Times"/>
        </w:rPr>
        <w:t xml:space="preserve"> możliwość </w:t>
      </w:r>
      <w:r w:rsidR="00CE058D">
        <w:rPr>
          <w:rFonts w:ascii="Times" w:hAnsi="Times"/>
        </w:rPr>
        <w:t xml:space="preserve"> lub brak możliwości </w:t>
      </w:r>
      <w:r w:rsidR="005C187C">
        <w:rPr>
          <w:rFonts w:ascii="Times" w:hAnsi="Times"/>
        </w:rPr>
        <w:t>przedłużonej</w:t>
      </w:r>
      <w:r w:rsidRPr="00F84085">
        <w:rPr>
          <w:rFonts w:ascii="Times" w:hAnsi="Times"/>
        </w:rPr>
        <w:t xml:space="preserve"> </w:t>
      </w:r>
      <w:r w:rsidR="005C187C">
        <w:rPr>
          <w:rFonts w:ascii="Times" w:hAnsi="Times"/>
        </w:rPr>
        <w:t>wentylacji</w:t>
      </w:r>
      <w:r w:rsidR="00177913" w:rsidRPr="00F84085">
        <w:rPr>
          <w:rFonts w:ascii="Times" w:hAnsi="Times"/>
        </w:rPr>
        <w:t xml:space="preserve"> z wykorzystaniem ‘prone position’</w:t>
      </w:r>
      <w:r w:rsidR="00B37DC8">
        <w:rPr>
          <w:rFonts w:ascii="Times" w:hAnsi="Times"/>
        </w:rPr>
        <w:t xml:space="preserve"> </w:t>
      </w:r>
      <w:r w:rsidR="00177913" w:rsidRPr="00F84085">
        <w:rPr>
          <w:rFonts w:ascii="Times" w:hAnsi="Times"/>
        </w:rPr>
        <w:t>(pozycja leżąca na brzuchu)</w:t>
      </w:r>
    </w:p>
    <w:p w14:paraId="7625BC28" w14:textId="67033517" w:rsidR="00177913" w:rsidRPr="00F84085" w:rsidRDefault="00793D6D" w:rsidP="00615CCB">
      <w:pPr>
        <w:pStyle w:val="Akapitzlist"/>
        <w:numPr>
          <w:ilvl w:val="0"/>
          <w:numId w:val="7"/>
        </w:numPr>
        <w:kinsoku w:val="0"/>
        <w:overflowPunct w:val="0"/>
        <w:spacing w:before="2" w:line="276" w:lineRule="auto"/>
        <w:ind w:right="239"/>
        <w:jc w:val="both"/>
        <w:rPr>
          <w:rFonts w:ascii="Times" w:hAnsi="Times"/>
          <w:b/>
        </w:rPr>
      </w:pPr>
      <w:r w:rsidRPr="00F84085">
        <w:rPr>
          <w:rFonts w:ascii="Times" w:hAnsi="Times"/>
        </w:rPr>
        <w:t xml:space="preserve">Leczenie eksperymentalne Covid-19 </w:t>
      </w:r>
      <w:r w:rsidR="0071097B">
        <w:rPr>
          <w:rFonts w:ascii="Times" w:hAnsi="Times"/>
        </w:rPr>
        <w:t>można zaproponować pacjentom niereagującym na leczenie standardowe.</w:t>
      </w:r>
      <w:r w:rsidRPr="00F84085">
        <w:rPr>
          <w:rFonts w:ascii="Times" w:hAnsi="Times"/>
        </w:rPr>
        <w:t xml:space="preserve"> Powinno być stosowane wyłącznie po konsultacji ze specjalistą chorób nerwowo-mięśniowych. </w:t>
      </w:r>
    </w:p>
    <w:p w14:paraId="20B03A07" w14:textId="77777777" w:rsidR="00793D6D" w:rsidRPr="00F84085" w:rsidRDefault="00793D6D" w:rsidP="00793D6D">
      <w:pPr>
        <w:pStyle w:val="Akapitzlist"/>
        <w:kinsoku w:val="0"/>
        <w:overflowPunct w:val="0"/>
        <w:spacing w:before="2" w:line="276" w:lineRule="auto"/>
        <w:ind w:left="1068" w:right="239"/>
        <w:jc w:val="both"/>
        <w:rPr>
          <w:rFonts w:ascii="Times" w:hAnsi="Times"/>
          <w:b/>
        </w:rPr>
      </w:pPr>
    </w:p>
    <w:p w14:paraId="23AEE859" w14:textId="3887DB77" w:rsidR="00793D6D" w:rsidRPr="00F84085" w:rsidRDefault="00793D6D" w:rsidP="00793D6D">
      <w:pPr>
        <w:pStyle w:val="Akapitzlist"/>
        <w:numPr>
          <w:ilvl w:val="0"/>
          <w:numId w:val="2"/>
        </w:numPr>
        <w:kinsoku w:val="0"/>
        <w:overflowPunct w:val="0"/>
        <w:spacing w:before="2" w:line="276" w:lineRule="auto"/>
        <w:ind w:right="239"/>
        <w:jc w:val="both"/>
        <w:rPr>
          <w:rFonts w:ascii="Times" w:hAnsi="Times"/>
          <w:b/>
        </w:rPr>
      </w:pPr>
      <w:r w:rsidRPr="00F84085">
        <w:rPr>
          <w:rFonts w:ascii="Times" w:hAnsi="Times"/>
          <w:b/>
        </w:rPr>
        <w:t>Co powinni zrobić specjaliści chorób nerwowo-mięśniowych</w:t>
      </w:r>
      <w:r w:rsidR="00B37DC8">
        <w:rPr>
          <w:rFonts w:ascii="Times" w:hAnsi="Times"/>
          <w:b/>
        </w:rPr>
        <w:t>,</w:t>
      </w:r>
      <w:r w:rsidRPr="00F84085">
        <w:rPr>
          <w:rFonts w:ascii="Times" w:hAnsi="Times"/>
          <w:b/>
        </w:rPr>
        <w:t xml:space="preserve"> aby wspomóc decyzje zespołu ratownictwa medycznego i intensywnej opieki medycznej przy przyjęciu do oddziału, w trakcie eskalacji leczenia i </w:t>
      </w:r>
      <w:r w:rsidR="00454AEB">
        <w:rPr>
          <w:rFonts w:ascii="Times" w:hAnsi="Times"/>
          <w:b/>
        </w:rPr>
        <w:t xml:space="preserve">po osiągnięciu </w:t>
      </w:r>
      <w:r w:rsidRPr="00F84085">
        <w:rPr>
          <w:rFonts w:ascii="Times" w:hAnsi="Times"/>
          <w:b/>
        </w:rPr>
        <w:t>granic / pułapu opieki nad pacjentem nerwowo-mięśniowym?</w:t>
      </w:r>
    </w:p>
    <w:p w14:paraId="081474F4" w14:textId="77777777" w:rsidR="00793D6D" w:rsidRPr="00F84085" w:rsidRDefault="00793D6D" w:rsidP="00793D6D">
      <w:pPr>
        <w:kinsoku w:val="0"/>
        <w:overflowPunct w:val="0"/>
        <w:spacing w:before="2" w:line="276" w:lineRule="auto"/>
        <w:ind w:right="239"/>
        <w:jc w:val="both"/>
        <w:rPr>
          <w:rFonts w:ascii="Times" w:hAnsi="Times"/>
        </w:rPr>
      </w:pPr>
    </w:p>
    <w:p w14:paraId="13D76738" w14:textId="1B751F31" w:rsidR="00793D6D" w:rsidRPr="00F84085" w:rsidRDefault="00793D6D" w:rsidP="00793D6D">
      <w:pPr>
        <w:kinsoku w:val="0"/>
        <w:overflowPunct w:val="0"/>
        <w:spacing w:before="2" w:line="276" w:lineRule="auto"/>
        <w:ind w:left="360" w:right="239"/>
        <w:jc w:val="both"/>
        <w:rPr>
          <w:rFonts w:ascii="Times" w:hAnsi="Times"/>
          <w:b/>
        </w:rPr>
      </w:pPr>
      <w:r w:rsidRPr="00F84085">
        <w:rPr>
          <w:rFonts w:ascii="Times" w:hAnsi="Times"/>
        </w:rPr>
        <w:lastRenderedPageBreak/>
        <w:t xml:space="preserve">Na decyzje dotyczące przyjęcia pacjentów do Oddziałów Intensywnej Opieki Medycznej mogą wpływać problemy z przewidywaną lub istniejącą dostępnością wolnych łóżek. Może zostać </w:t>
      </w:r>
      <w:r w:rsidR="00271E2C">
        <w:rPr>
          <w:rFonts w:ascii="Times" w:hAnsi="Times"/>
        </w:rPr>
        <w:t>zastosowany triage,</w:t>
      </w:r>
      <w:r w:rsidRPr="00F84085">
        <w:rPr>
          <w:rFonts w:ascii="Times" w:hAnsi="Times"/>
        </w:rPr>
        <w:t xml:space="preserve"> mający praktyczne i etyczne konsekwencje.</w:t>
      </w:r>
    </w:p>
    <w:p w14:paraId="499F9A1F" w14:textId="3C71202A" w:rsidR="00793D6D" w:rsidRPr="00F84085" w:rsidRDefault="00793D6D" w:rsidP="00793D6D">
      <w:pPr>
        <w:pStyle w:val="Akapitzlist"/>
        <w:numPr>
          <w:ilvl w:val="1"/>
          <w:numId w:val="2"/>
        </w:numPr>
        <w:kinsoku w:val="0"/>
        <w:overflowPunct w:val="0"/>
        <w:spacing w:before="2" w:line="276" w:lineRule="auto"/>
        <w:ind w:right="239"/>
        <w:jc w:val="both"/>
        <w:rPr>
          <w:rFonts w:ascii="Times" w:hAnsi="Times"/>
          <w:b/>
        </w:rPr>
      </w:pPr>
      <w:r w:rsidRPr="00F84085">
        <w:rPr>
          <w:rFonts w:ascii="Times" w:hAnsi="Times"/>
        </w:rPr>
        <w:t>Konieczna jest ścisła współpraca między specjalistami chorób nerwowo-mięśniowych</w:t>
      </w:r>
      <w:r w:rsidR="005B34F1">
        <w:rPr>
          <w:rFonts w:ascii="Times" w:hAnsi="Times"/>
        </w:rPr>
        <w:t>,</w:t>
      </w:r>
      <w:r w:rsidRPr="00F84085">
        <w:rPr>
          <w:rFonts w:ascii="Times" w:hAnsi="Times"/>
        </w:rPr>
        <w:t xml:space="preserve"> a lekarzami OIT</w:t>
      </w:r>
      <w:r w:rsidR="00994025">
        <w:rPr>
          <w:rFonts w:ascii="Times" w:hAnsi="Times"/>
        </w:rPr>
        <w:t xml:space="preserve">. </w:t>
      </w:r>
    </w:p>
    <w:p w14:paraId="0AE87BBE" w14:textId="079F8C63" w:rsidR="00EF4C23" w:rsidRPr="00F84085" w:rsidRDefault="00C16BCB" w:rsidP="00793D6D">
      <w:pPr>
        <w:pStyle w:val="Akapitzlist"/>
        <w:numPr>
          <w:ilvl w:val="1"/>
          <w:numId w:val="2"/>
        </w:numPr>
        <w:kinsoku w:val="0"/>
        <w:overflowPunct w:val="0"/>
        <w:spacing w:before="2" w:line="276" w:lineRule="auto"/>
        <w:ind w:right="239"/>
        <w:jc w:val="both"/>
        <w:rPr>
          <w:rFonts w:ascii="Times" w:hAnsi="Times"/>
          <w:b/>
        </w:rPr>
      </w:pPr>
      <w:r>
        <w:rPr>
          <w:rFonts w:ascii="Times" w:hAnsi="Times"/>
        </w:rPr>
        <w:t>Specjalista</w:t>
      </w:r>
      <w:r w:rsidR="00EF4C23" w:rsidRPr="00F84085">
        <w:rPr>
          <w:rFonts w:ascii="Times" w:hAnsi="Times"/>
        </w:rPr>
        <w:t xml:space="preserve"> chorób nerwowo-mięśniowych </w:t>
      </w:r>
      <w:r w:rsidR="007C1CD9">
        <w:rPr>
          <w:rFonts w:ascii="Times" w:hAnsi="Times"/>
        </w:rPr>
        <w:t xml:space="preserve">odgrywa </w:t>
      </w:r>
      <w:r w:rsidR="005B34F1">
        <w:rPr>
          <w:rFonts w:ascii="Times" w:hAnsi="Times"/>
        </w:rPr>
        <w:t xml:space="preserve">istotną </w:t>
      </w:r>
      <w:r w:rsidR="007C1CD9">
        <w:rPr>
          <w:rFonts w:ascii="Times" w:hAnsi="Times"/>
        </w:rPr>
        <w:t>rolę w zapewnieniu</w:t>
      </w:r>
      <w:r w:rsidR="00EF4C23" w:rsidRPr="00F84085">
        <w:rPr>
          <w:rFonts w:ascii="Times" w:hAnsi="Times"/>
        </w:rPr>
        <w:t xml:space="preserve"> </w:t>
      </w:r>
      <w:r w:rsidR="00994025">
        <w:rPr>
          <w:rFonts w:ascii="Times" w:hAnsi="Times"/>
        </w:rPr>
        <w:t>dostateczne</w:t>
      </w:r>
      <w:r w:rsidR="007C1CD9">
        <w:rPr>
          <w:rFonts w:ascii="Times" w:hAnsi="Times"/>
        </w:rPr>
        <w:t>go zaopatrzenia</w:t>
      </w:r>
      <w:r w:rsidR="00EF4C23" w:rsidRPr="00F84085">
        <w:rPr>
          <w:rFonts w:ascii="Times" w:hAnsi="Times"/>
        </w:rPr>
        <w:t xml:space="preserve"> w zakresie intensywnej opieki medycznej pacjentom z NMD</w:t>
      </w:r>
      <w:r w:rsidR="00994025">
        <w:rPr>
          <w:rFonts w:ascii="Times" w:hAnsi="Times"/>
        </w:rPr>
        <w:t>.</w:t>
      </w:r>
    </w:p>
    <w:p w14:paraId="13DFF1C2" w14:textId="77777777" w:rsidR="00793D6D" w:rsidRPr="00F84085" w:rsidRDefault="00EF4C23" w:rsidP="00793D6D">
      <w:pPr>
        <w:pStyle w:val="Akapitzlist"/>
        <w:numPr>
          <w:ilvl w:val="1"/>
          <w:numId w:val="2"/>
        </w:numPr>
        <w:kinsoku w:val="0"/>
        <w:overflowPunct w:val="0"/>
        <w:spacing w:before="2" w:line="276" w:lineRule="auto"/>
        <w:ind w:right="239"/>
        <w:jc w:val="both"/>
        <w:rPr>
          <w:rFonts w:ascii="Times" w:hAnsi="Times"/>
          <w:b/>
        </w:rPr>
      </w:pPr>
      <w:r w:rsidRPr="00F84085">
        <w:rPr>
          <w:rFonts w:ascii="Times" w:hAnsi="Times"/>
        </w:rPr>
        <w:t>Idealnie, lekarze nerwowo-mięśniowi powinni być zaangażowani w tworzenie procedur i algorytmów szpitalnych a także obowiązujących formularzy dokumentacji.</w:t>
      </w:r>
    </w:p>
    <w:p w14:paraId="114A48C4" w14:textId="5B35DA8A" w:rsidR="00EF4C23" w:rsidRPr="002569BC" w:rsidRDefault="0067177C" w:rsidP="00793D6D">
      <w:pPr>
        <w:pStyle w:val="Akapitzlist"/>
        <w:numPr>
          <w:ilvl w:val="1"/>
          <w:numId w:val="2"/>
        </w:numPr>
        <w:kinsoku w:val="0"/>
        <w:overflowPunct w:val="0"/>
        <w:spacing w:before="2" w:line="276" w:lineRule="auto"/>
        <w:ind w:right="239"/>
        <w:jc w:val="both"/>
        <w:rPr>
          <w:rFonts w:ascii="Times" w:hAnsi="Times"/>
          <w:b/>
        </w:rPr>
      </w:pPr>
      <w:r w:rsidRPr="00F84085">
        <w:rPr>
          <w:rFonts w:ascii="Times" w:hAnsi="Times"/>
        </w:rPr>
        <w:t xml:space="preserve">Specjaliści </w:t>
      </w:r>
      <w:r w:rsidR="00FC7FDC">
        <w:rPr>
          <w:rFonts w:ascii="Times" w:hAnsi="Times"/>
        </w:rPr>
        <w:t xml:space="preserve">chorób </w:t>
      </w:r>
      <w:r w:rsidRPr="00F84085">
        <w:rPr>
          <w:rFonts w:ascii="Times" w:hAnsi="Times"/>
        </w:rPr>
        <w:t>nerwowo-mięśniow</w:t>
      </w:r>
      <w:r w:rsidR="00FC7FDC">
        <w:rPr>
          <w:rFonts w:ascii="Times" w:hAnsi="Times"/>
        </w:rPr>
        <w:t>ych</w:t>
      </w:r>
      <w:r w:rsidRPr="00F84085">
        <w:rPr>
          <w:rFonts w:ascii="Times" w:hAnsi="Times"/>
        </w:rPr>
        <w:t xml:space="preserve"> </w:t>
      </w:r>
      <w:r w:rsidR="00FC7FDC">
        <w:rPr>
          <w:rFonts w:ascii="Times" w:hAnsi="Times"/>
        </w:rPr>
        <w:t>powinni</w:t>
      </w:r>
      <w:bookmarkStart w:id="0" w:name="_GoBack"/>
      <w:bookmarkEnd w:id="0"/>
      <w:r w:rsidRPr="00F84085">
        <w:rPr>
          <w:rFonts w:ascii="Times" w:hAnsi="Times"/>
        </w:rPr>
        <w:t xml:space="preserve"> opracowywać wytyczne dotyczące leczenia, które zapewni pacjentom jak najdłuższy pobyt w domu bez konieczności hospitalizacji. </w:t>
      </w:r>
    </w:p>
    <w:p w14:paraId="1620A78B" w14:textId="77777777" w:rsidR="002569BC" w:rsidRPr="00F84085" w:rsidRDefault="002569BC" w:rsidP="002569BC">
      <w:pPr>
        <w:pStyle w:val="Akapitzlist"/>
        <w:kinsoku w:val="0"/>
        <w:overflowPunct w:val="0"/>
        <w:spacing w:before="2" w:line="276" w:lineRule="auto"/>
        <w:ind w:left="1068" w:right="239"/>
        <w:jc w:val="both"/>
        <w:rPr>
          <w:rFonts w:ascii="Times" w:hAnsi="Times"/>
          <w:b/>
        </w:rPr>
      </w:pPr>
    </w:p>
    <w:p w14:paraId="69D63DE6" w14:textId="50134FE6" w:rsidR="0067177C" w:rsidRDefault="00186A0A" w:rsidP="0067177C">
      <w:pPr>
        <w:pStyle w:val="Akapitzlist"/>
        <w:numPr>
          <w:ilvl w:val="0"/>
          <w:numId w:val="2"/>
        </w:numPr>
        <w:kinsoku w:val="0"/>
        <w:overflowPunct w:val="0"/>
        <w:spacing w:before="2" w:line="276" w:lineRule="auto"/>
        <w:ind w:right="239"/>
        <w:jc w:val="both"/>
        <w:rPr>
          <w:rFonts w:ascii="Times" w:hAnsi="Times"/>
          <w:b/>
        </w:rPr>
      </w:pPr>
      <w:r w:rsidRPr="00F84085">
        <w:rPr>
          <w:rFonts w:ascii="Times" w:hAnsi="Times"/>
          <w:b/>
        </w:rPr>
        <w:t xml:space="preserve">Jakiego wsparcia powinny udzielić ośrodki nerwowo-mięśniowe pacjentom? </w:t>
      </w:r>
    </w:p>
    <w:p w14:paraId="744E1752" w14:textId="77777777" w:rsidR="00DF2F45" w:rsidRPr="00F84085" w:rsidRDefault="00DF2F45" w:rsidP="00DF2F45">
      <w:pPr>
        <w:pStyle w:val="Akapitzlist"/>
        <w:kinsoku w:val="0"/>
        <w:overflowPunct w:val="0"/>
        <w:spacing w:before="2" w:line="276" w:lineRule="auto"/>
        <w:ind w:right="239"/>
        <w:jc w:val="both"/>
        <w:rPr>
          <w:rFonts w:ascii="Times" w:hAnsi="Times"/>
          <w:b/>
        </w:rPr>
      </w:pPr>
    </w:p>
    <w:p w14:paraId="055CB188" w14:textId="1AC0F181" w:rsidR="00186A0A" w:rsidRPr="00F84085" w:rsidRDefault="00186A0A" w:rsidP="00186A0A">
      <w:pPr>
        <w:kinsoku w:val="0"/>
        <w:overflowPunct w:val="0"/>
        <w:spacing w:before="2" w:line="276" w:lineRule="auto"/>
        <w:ind w:left="360" w:right="239"/>
        <w:jc w:val="both"/>
        <w:rPr>
          <w:rFonts w:ascii="Times" w:hAnsi="Times"/>
        </w:rPr>
      </w:pPr>
      <w:r w:rsidRPr="00F84085">
        <w:rPr>
          <w:rFonts w:ascii="Times" w:hAnsi="Times"/>
        </w:rPr>
        <w:t xml:space="preserve">Ośrodki nerwowo-mięśniowe i </w:t>
      </w:r>
      <w:r w:rsidR="00C143F7">
        <w:rPr>
          <w:rFonts w:ascii="Times" w:hAnsi="Times"/>
        </w:rPr>
        <w:t>opieka specjalistyczna</w:t>
      </w:r>
      <w:r w:rsidRPr="00F84085">
        <w:rPr>
          <w:rFonts w:ascii="Times" w:hAnsi="Times"/>
        </w:rPr>
        <w:t xml:space="preserve"> powinny mieć na celu zapewnienie:</w:t>
      </w:r>
    </w:p>
    <w:p w14:paraId="68A5E8AE" w14:textId="476DAD9F" w:rsidR="00186A0A" w:rsidRPr="00F84085" w:rsidRDefault="00186A0A" w:rsidP="00186A0A">
      <w:pPr>
        <w:pStyle w:val="Akapitzlist"/>
        <w:numPr>
          <w:ilvl w:val="0"/>
          <w:numId w:val="8"/>
        </w:numPr>
        <w:kinsoku w:val="0"/>
        <w:overflowPunct w:val="0"/>
        <w:spacing w:before="2" w:line="276" w:lineRule="auto"/>
        <w:ind w:right="239"/>
        <w:jc w:val="both"/>
        <w:rPr>
          <w:rFonts w:ascii="Times" w:hAnsi="Times"/>
        </w:rPr>
      </w:pPr>
      <w:r w:rsidRPr="00F84085">
        <w:rPr>
          <w:rFonts w:ascii="Times" w:hAnsi="Times"/>
        </w:rPr>
        <w:t>infolinii dla pacjentów obsługiwanych przez doradców ds. opieki nad pacjentem nerwowo-mięśniowym, fizjoterapeutów i innego specjali</w:t>
      </w:r>
      <w:r w:rsidR="002D05B2">
        <w:rPr>
          <w:rFonts w:ascii="Times" w:hAnsi="Times"/>
        </w:rPr>
        <w:t xml:space="preserve">stycznego personelu, </w:t>
      </w:r>
      <w:r w:rsidRPr="00F84085">
        <w:rPr>
          <w:rFonts w:ascii="Times" w:hAnsi="Times"/>
        </w:rPr>
        <w:t>ze wsparciem lekarza specjalisty (dla dorosłych i dzieci)</w:t>
      </w:r>
      <w:r w:rsidR="002D05B2">
        <w:rPr>
          <w:rFonts w:ascii="Times" w:hAnsi="Times"/>
        </w:rPr>
        <w:t>;</w:t>
      </w:r>
    </w:p>
    <w:p w14:paraId="30B6D299" w14:textId="05F597EC" w:rsidR="00186A0A" w:rsidRPr="00F84085" w:rsidRDefault="002D05B2" w:rsidP="00186A0A">
      <w:pPr>
        <w:pStyle w:val="Akapitzlist"/>
        <w:numPr>
          <w:ilvl w:val="0"/>
          <w:numId w:val="8"/>
        </w:numPr>
        <w:kinsoku w:val="0"/>
        <w:overflowPunct w:val="0"/>
        <w:spacing w:before="2" w:line="276" w:lineRule="auto"/>
        <w:ind w:right="239"/>
        <w:jc w:val="both"/>
        <w:rPr>
          <w:rFonts w:ascii="Times" w:hAnsi="Times"/>
        </w:rPr>
      </w:pPr>
      <w:r>
        <w:rPr>
          <w:rFonts w:ascii="Times" w:hAnsi="Times"/>
        </w:rPr>
        <w:t>możliwości</w:t>
      </w:r>
      <w:r w:rsidR="00186A0A" w:rsidRPr="00F84085">
        <w:rPr>
          <w:rFonts w:ascii="Times" w:hAnsi="Times"/>
        </w:rPr>
        <w:t xml:space="preserve"> kontynuowania </w:t>
      </w:r>
      <w:r w:rsidR="00A90332" w:rsidRPr="00F84085">
        <w:rPr>
          <w:rFonts w:ascii="Times" w:hAnsi="Times"/>
        </w:rPr>
        <w:t>rutynowej pracy klinicznej</w:t>
      </w:r>
      <w:r w:rsidR="00186A0A" w:rsidRPr="00F84085">
        <w:rPr>
          <w:rFonts w:ascii="Times" w:hAnsi="Times"/>
        </w:rPr>
        <w:t xml:space="preserve"> za pomocą telemedycyny (w tym celu </w:t>
      </w:r>
      <w:r w:rsidR="00A90332" w:rsidRPr="00F84085">
        <w:rPr>
          <w:rFonts w:ascii="Times" w:hAnsi="Times"/>
        </w:rPr>
        <w:t>mogą być konieczne zmiany dotyczące krajowych i instytucjonalnych przepisów dotyczących ochrony danych osobowych)</w:t>
      </w:r>
      <w:r>
        <w:rPr>
          <w:rFonts w:ascii="Times" w:hAnsi="Times"/>
        </w:rPr>
        <w:t>;</w:t>
      </w:r>
    </w:p>
    <w:p w14:paraId="333C26A4" w14:textId="721A6FBA" w:rsidR="00A90332" w:rsidRPr="00F84085" w:rsidRDefault="00A90332" w:rsidP="00186A0A">
      <w:pPr>
        <w:pStyle w:val="Akapitzlist"/>
        <w:numPr>
          <w:ilvl w:val="0"/>
          <w:numId w:val="8"/>
        </w:numPr>
        <w:kinsoku w:val="0"/>
        <w:overflowPunct w:val="0"/>
        <w:spacing w:before="2" w:line="276" w:lineRule="auto"/>
        <w:ind w:right="239"/>
        <w:jc w:val="both"/>
        <w:rPr>
          <w:rFonts w:ascii="Times" w:hAnsi="Times"/>
        </w:rPr>
      </w:pPr>
      <w:r w:rsidRPr="00F84085">
        <w:rPr>
          <w:rFonts w:ascii="Times" w:hAnsi="Times"/>
        </w:rPr>
        <w:t>strategii wsparcia wentylacji</w:t>
      </w:r>
      <w:r w:rsidR="002D05B2">
        <w:rPr>
          <w:rFonts w:ascii="Times" w:hAnsi="Times"/>
        </w:rPr>
        <w:t>;</w:t>
      </w:r>
    </w:p>
    <w:p w14:paraId="488CC00E" w14:textId="7231315F" w:rsidR="00A90332" w:rsidRPr="00F84085" w:rsidRDefault="002D05B2" w:rsidP="00186A0A">
      <w:pPr>
        <w:pStyle w:val="Akapitzlist"/>
        <w:numPr>
          <w:ilvl w:val="0"/>
          <w:numId w:val="8"/>
        </w:numPr>
        <w:kinsoku w:val="0"/>
        <w:overflowPunct w:val="0"/>
        <w:spacing w:before="2" w:line="276" w:lineRule="auto"/>
        <w:ind w:right="239"/>
        <w:jc w:val="both"/>
        <w:rPr>
          <w:rFonts w:ascii="Times" w:hAnsi="Times"/>
        </w:rPr>
      </w:pPr>
      <w:r>
        <w:rPr>
          <w:rFonts w:ascii="Times" w:hAnsi="Times"/>
        </w:rPr>
        <w:t>s</w:t>
      </w:r>
      <w:r w:rsidR="00A90332" w:rsidRPr="00F84085">
        <w:rPr>
          <w:rFonts w:ascii="Times" w:hAnsi="Times"/>
        </w:rPr>
        <w:t>trategii podtrzymania leczenia odbywanego w warunkach szpitalnych przy</w:t>
      </w:r>
      <w:r>
        <w:rPr>
          <w:rFonts w:ascii="Times" w:hAnsi="Times"/>
        </w:rPr>
        <w:t xml:space="preserve"> jak najmniejszych zakłóceniach;</w:t>
      </w:r>
    </w:p>
    <w:p w14:paraId="40D5C09A" w14:textId="11F91EE1" w:rsidR="00A90332" w:rsidRPr="00F84085" w:rsidRDefault="002D05B2" w:rsidP="00186A0A">
      <w:pPr>
        <w:pStyle w:val="Akapitzlist"/>
        <w:numPr>
          <w:ilvl w:val="0"/>
          <w:numId w:val="8"/>
        </w:numPr>
        <w:kinsoku w:val="0"/>
        <w:overflowPunct w:val="0"/>
        <w:spacing w:before="2" w:line="276" w:lineRule="auto"/>
        <w:ind w:right="239"/>
        <w:jc w:val="both"/>
        <w:rPr>
          <w:rFonts w:ascii="Times" w:hAnsi="Times"/>
        </w:rPr>
      </w:pPr>
      <w:r>
        <w:rPr>
          <w:rFonts w:ascii="Times" w:hAnsi="Times"/>
        </w:rPr>
        <w:t>s</w:t>
      </w:r>
      <w:r w:rsidR="00A90332" w:rsidRPr="00F84085">
        <w:rPr>
          <w:rFonts w:ascii="Times" w:hAnsi="Times"/>
        </w:rPr>
        <w:t>pecjaliści nerwowo-mięśniowi powinni być w dialogu z IP, SOR, oddziałami intensywnej opieki medycznej na temat restrykcji związanych z korzystaniem z domowego sprzętu do wentylacji nieinwazyjnej (NIV)</w:t>
      </w:r>
      <w:r>
        <w:rPr>
          <w:rFonts w:ascii="Times" w:hAnsi="Times"/>
        </w:rPr>
        <w:t>;</w:t>
      </w:r>
    </w:p>
    <w:p w14:paraId="2C6A17BC" w14:textId="6F0BB8EB" w:rsidR="00A90332" w:rsidRPr="00F84085" w:rsidRDefault="002D05B2" w:rsidP="00186A0A">
      <w:pPr>
        <w:pStyle w:val="Akapitzlist"/>
        <w:numPr>
          <w:ilvl w:val="0"/>
          <w:numId w:val="8"/>
        </w:numPr>
        <w:kinsoku w:val="0"/>
        <w:overflowPunct w:val="0"/>
        <w:spacing w:before="2" w:line="276" w:lineRule="auto"/>
        <w:ind w:right="239"/>
        <w:jc w:val="both"/>
        <w:rPr>
          <w:rFonts w:ascii="Times" w:hAnsi="Times"/>
        </w:rPr>
      </w:pPr>
      <w:r>
        <w:rPr>
          <w:rFonts w:ascii="Times" w:hAnsi="Times"/>
        </w:rPr>
        <w:t>s</w:t>
      </w:r>
      <w:r w:rsidR="00A90332" w:rsidRPr="00F84085">
        <w:rPr>
          <w:rFonts w:ascii="Times" w:hAnsi="Times"/>
        </w:rPr>
        <w:t>pecjaliści nerwowo-mięśniowi powinni wspierać szpital w definiowaniu zalecanych urządzeń i zapewnianiu ich dostępności (</w:t>
      </w:r>
      <w:r>
        <w:rPr>
          <w:rFonts w:ascii="Times" w:hAnsi="Times"/>
        </w:rPr>
        <w:t xml:space="preserve">np. </w:t>
      </w:r>
      <w:r w:rsidR="00A90332" w:rsidRPr="00F84085">
        <w:rPr>
          <w:rFonts w:ascii="Times" w:hAnsi="Times"/>
        </w:rPr>
        <w:t>systemy masek z filtrami przeciwwirusowymi</w:t>
      </w:r>
      <w:r>
        <w:rPr>
          <w:rFonts w:ascii="Times" w:hAnsi="Times"/>
        </w:rPr>
        <w:t>,</w:t>
      </w:r>
      <w:r w:rsidR="00A90332" w:rsidRPr="00F84085">
        <w:rPr>
          <w:rFonts w:ascii="Times" w:hAnsi="Times"/>
        </w:rPr>
        <w:t xml:space="preserve"> aby umożliwić stosowanie domowych urządzeń NIV w szpitalach)</w:t>
      </w:r>
      <w:r>
        <w:rPr>
          <w:rFonts w:ascii="Times" w:hAnsi="Times"/>
        </w:rPr>
        <w:t>;</w:t>
      </w:r>
    </w:p>
    <w:p w14:paraId="2B6B28D0" w14:textId="74419934" w:rsidR="00A90332" w:rsidRPr="00F84085" w:rsidRDefault="002D05B2" w:rsidP="00186A0A">
      <w:pPr>
        <w:pStyle w:val="Akapitzlist"/>
        <w:numPr>
          <w:ilvl w:val="0"/>
          <w:numId w:val="8"/>
        </w:numPr>
        <w:kinsoku w:val="0"/>
        <w:overflowPunct w:val="0"/>
        <w:spacing w:before="2" w:line="276" w:lineRule="auto"/>
        <w:ind w:right="239"/>
        <w:jc w:val="both"/>
        <w:rPr>
          <w:rFonts w:ascii="Times" w:hAnsi="Times"/>
        </w:rPr>
      </w:pPr>
      <w:r>
        <w:rPr>
          <w:rFonts w:ascii="Times" w:hAnsi="Times"/>
        </w:rPr>
        <w:t>łączności</w:t>
      </w:r>
      <w:r w:rsidR="00A90332" w:rsidRPr="00F84085">
        <w:rPr>
          <w:rFonts w:ascii="Times" w:hAnsi="Times"/>
        </w:rPr>
        <w:t xml:space="preserve"> </w:t>
      </w:r>
      <w:r>
        <w:rPr>
          <w:rFonts w:ascii="Times" w:hAnsi="Times"/>
        </w:rPr>
        <w:t>i wspólnej opieki nad pacjentami z NMD</w:t>
      </w:r>
      <w:r w:rsidR="00A90332" w:rsidRPr="00F84085">
        <w:rPr>
          <w:rFonts w:ascii="Times" w:hAnsi="Times"/>
        </w:rPr>
        <w:t xml:space="preserve"> wraz z pracownikami OIT-ów.</w:t>
      </w:r>
    </w:p>
    <w:p w14:paraId="7FB4D01C" w14:textId="77777777" w:rsidR="00A90332" w:rsidRDefault="00A90332" w:rsidP="00A90332">
      <w:pPr>
        <w:kinsoku w:val="0"/>
        <w:overflowPunct w:val="0"/>
        <w:spacing w:before="2" w:line="276" w:lineRule="auto"/>
        <w:ind w:right="239"/>
        <w:jc w:val="both"/>
        <w:rPr>
          <w:rFonts w:ascii="Times" w:hAnsi="Times"/>
        </w:rPr>
      </w:pPr>
    </w:p>
    <w:p w14:paraId="013A8D69" w14:textId="3E4FB55C" w:rsidR="00A90332" w:rsidRPr="00A90332" w:rsidRDefault="00A90332" w:rsidP="00A90332">
      <w:pPr>
        <w:kinsoku w:val="0"/>
        <w:overflowPunct w:val="0"/>
        <w:spacing w:before="2" w:line="276" w:lineRule="auto"/>
        <w:ind w:right="239"/>
        <w:jc w:val="both"/>
        <w:rPr>
          <w:rFonts w:ascii="Times" w:hAnsi="Times"/>
          <w:b/>
        </w:rPr>
      </w:pPr>
      <w:r w:rsidRPr="00A90332">
        <w:rPr>
          <w:rFonts w:ascii="Times" w:hAnsi="Times"/>
          <w:b/>
        </w:rPr>
        <w:t>Dodatkowe informacje:</w:t>
      </w:r>
    </w:p>
    <w:p w14:paraId="71CC12AF" w14:textId="77777777" w:rsidR="00DF2F45" w:rsidRDefault="00DF2F45" w:rsidP="00DF2F45">
      <w:pPr>
        <w:kinsoku w:val="0"/>
        <w:overflowPunct w:val="0"/>
        <w:spacing w:before="2" w:line="276" w:lineRule="auto"/>
        <w:ind w:right="239"/>
        <w:jc w:val="both"/>
        <w:rPr>
          <w:rFonts w:ascii="Times" w:hAnsi="Times"/>
        </w:rPr>
      </w:pPr>
    </w:p>
    <w:p w14:paraId="1C82F28D" w14:textId="1486317A" w:rsidR="00A90332" w:rsidRPr="00DF2F45" w:rsidRDefault="00E82678" w:rsidP="00DF2F45">
      <w:pPr>
        <w:kinsoku w:val="0"/>
        <w:overflowPunct w:val="0"/>
        <w:spacing w:before="2" w:line="276" w:lineRule="auto"/>
        <w:ind w:right="239"/>
        <w:jc w:val="both"/>
        <w:rPr>
          <w:rFonts w:ascii="Times" w:hAnsi="Times"/>
        </w:rPr>
      </w:pPr>
      <w:r w:rsidRPr="00DF2F45">
        <w:rPr>
          <w:rFonts w:ascii="Times" w:hAnsi="Times"/>
        </w:rPr>
        <w:t>Dokumenty są dostępne na:</w:t>
      </w:r>
    </w:p>
    <w:p w14:paraId="0B22A3D1" w14:textId="77777777" w:rsidR="00E82678" w:rsidRDefault="00FC7FDC" w:rsidP="00E82678">
      <w:pPr>
        <w:pStyle w:val="Tekstpodstawowy"/>
        <w:kinsoku w:val="0"/>
        <w:overflowPunct w:val="0"/>
        <w:spacing w:before="181" w:line="410" w:lineRule="auto"/>
        <w:ind w:left="100" w:right="5518"/>
      </w:pPr>
      <w:hyperlink r:id="rId5" w:history="1">
        <w:r w:rsidR="00E82678">
          <w:rPr>
            <w:u w:val="single" w:color="000000"/>
          </w:rPr>
          <w:t>https://www.theabn.org/page/COVID-19</w:t>
        </w:r>
      </w:hyperlink>
    </w:p>
    <w:p w14:paraId="4AF3434B" w14:textId="77777777" w:rsidR="00E82678" w:rsidRPr="00E82678" w:rsidRDefault="00FC7FDC" w:rsidP="00E82678">
      <w:pPr>
        <w:pStyle w:val="Tekstpodstawowy"/>
        <w:kinsoku w:val="0"/>
        <w:overflowPunct w:val="0"/>
        <w:spacing w:before="2" w:line="256" w:lineRule="auto"/>
        <w:ind w:left="100" w:right="636"/>
        <w:rPr>
          <w:lang w:val="en-US"/>
        </w:rPr>
      </w:pPr>
      <w:hyperlink r:id="rId6" w:history="1">
        <w:r w:rsidR="00E82678" w:rsidRPr="00E82678">
          <w:rPr>
            <w:u w:val="single" w:color="000000"/>
            <w:lang w:val="en-US"/>
          </w:rPr>
          <w:t>https://neuromuscularnetwork.ca/news/covid-19-and-neuromuscular-patients-la-covid-19-et-les-</w:t>
        </w:r>
      </w:hyperlink>
      <w:r w:rsidR="00E82678" w:rsidRPr="00E82678">
        <w:rPr>
          <w:lang w:val="en-US"/>
        </w:rPr>
        <w:t xml:space="preserve"> </w:t>
      </w:r>
      <w:hyperlink r:id="rId7" w:history="1">
        <w:r w:rsidR="00E82678" w:rsidRPr="00E82678">
          <w:rPr>
            <w:u w:val="single" w:color="000000"/>
            <w:lang w:val="en-US"/>
          </w:rPr>
          <w:t>patients-neuromusculaires/</w:t>
        </w:r>
      </w:hyperlink>
    </w:p>
    <w:p w14:paraId="71698130" w14:textId="77777777" w:rsidR="00E82678" w:rsidRPr="00E82678" w:rsidRDefault="00FC7FDC" w:rsidP="00E82678">
      <w:pPr>
        <w:pStyle w:val="Tekstpodstawowy"/>
        <w:kinsoku w:val="0"/>
        <w:overflowPunct w:val="0"/>
        <w:spacing w:before="165" w:line="410" w:lineRule="auto"/>
        <w:ind w:left="100" w:right="1120"/>
        <w:rPr>
          <w:lang w:val="en-US"/>
        </w:rPr>
      </w:pPr>
      <w:hyperlink r:id="rId8" w:history="1">
        <w:r w:rsidR="00E82678" w:rsidRPr="00E82678">
          <w:rPr>
            <w:u w:val="single" w:color="000000"/>
            <w:lang w:val="en-US"/>
          </w:rPr>
          <w:t>https://www.youtube.com/watch?v=3DKEeRV8alA&amp;feature=youtu.be</w:t>
        </w:r>
      </w:hyperlink>
      <w:r w:rsidR="00E82678" w:rsidRPr="00E82678">
        <w:rPr>
          <w:lang w:val="en-US"/>
        </w:rPr>
        <w:t xml:space="preserve"> </w:t>
      </w:r>
      <w:hyperlink r:id="rId9" w:history="1">
        <w:r w:rsidR="00E82678" w:rsidRPr="00E82678">
          <w:rPr>
            <w:u w:val="single" w:color="000000"/>
            <w:lang w:val="en-US"/>
          </w:rPr>
          <w:t>http://www.eamda.eu/2020/03/19/coronavirus-covid-19-information-for-people-with-nmd/</w:t>
        </w:r>
      </w:hyperlink>
    </w:p>
    <w:p w14:paraId="778E12AF" w14:textId="77777777" w:rsidR="00E82678" w:rsidRPr="00E82678" w:rsidRDefault="00FC7FDC" w:rsidP="00E82678">
      <w:pPr>
        <w:pStyle w:val="Tekstpodstawowy"/>
        <w:kinsoku w:val="0"/>
        <w:overflowPunct w:val="0"/>
        <w:spacing w:before="1" w:line="259" w:lineRule="auto"/>
        <w:ind w:left="100" w:right="677"/>
        <w:jc w:val="both"/>
        <w:rPr>
          <w:lang w:val="en-US"/>
        </w:rPr>
      </w:pPr>
      <w:hyperlink r:id="rId10" w:history="1">
        <w:r w:rsidR="00E82678" w:rsidRPr="00E82678">
          <w:rPr>
            <w:u w:val="single" w:color="000000"/>
            <w:lang w:val="en-US"/>
          </w:rPr>
          <w:t>https://www.gov.uk/government/publications/guidance-on-shielding-and-protecting-extremely-</w:t>
        </w:r>
      </w:hyperlink>
      <w:r w:rsidR="00E82678" w:rsidRPr="00E82678">
        <w:rPr>
          <w:lang w:val="en-US"/>
        </w:rPr>
        <w:t xml:space="preserve"> </w:t>
      </w:r>
      <w:hyperlink r:id="rId11" w:history="1">
        <w:r w:rsidR="00E82678" w:rsidRPr="00E82678">
          <w:rPr>
            <w:u w:val="single" w:color="000000"/>
            <w:lang w:val="en-US"/>
          </w:rPr>
          <w:t>vulnerable-persons-from-covid-19/guidance-on-shielding-and-protecting-extremely-vulnerable-</w:t>
        </w:r>
      </w:hyperlink>
      <w:r w:rsidR="00E82678" w:rsidRPr="00E82678">
        <w:rPr>
          <w:lang w:val="en-US"/>
        </w:rPr>
        <w:t xml:space="preserve"> </w:t>
      </w:r>
      <w:hyperlink r:id="rId12" w:history="1">
        <w:r w:rsidR="00E82678" w:rsidRPr="00E82678">
          <w:rPr>
            <w:u w:val="single" w:color="000000"/>
            <w:lang w:val="en-US"/>
          </w:rPr>
          <w:t>persons-from-covid-19</w:t>
        </w:r>
      </w:hyperlink>
    </w:p>
    <w:p w14:paraId="206FB458" w14:textId="77777777" w:rsidR="00E82678" w:rsidRPr="00E82678" w:rsidRDefault="00FC7FDC" w:rsidP="00E82678">
      <w:pPr>
        <w:pStyle w:val="Tekstpodstawowy"/>
        <w:kinsoku w:val="0"/>
        <w:overflowPunct w:val="0"/>
        <w:spacing w:before="159"/>
        <w:ind w:left="100"/>
        <w:rPr>
          <w:lang w:val="en-US"/>
        </w:rPr>
      </w:pPr>
      <w:hyperlink r:id="rId13" w:history="1">
        <w:r w:rsidR="00E82678" w:rsidRPr="00E82678">
          <w:rPr>
            <w:u w:val="single" w:color="000000"/>
            <w:lang w:val="en-US"/>
          </w:rPr>
          <w:t>https://ern-euro-nmd.eu/</w:t>
        </w:r>
      </w:hyperlink>
    </w:p>
    <w:p w14:paraId="786655AE" w14:textId="77777777" w:rsidR="00E82678" w:rsidRPr="00E82678" w:rsidRDefault="00E82678" w:rsidP="00E82678">
      <w:pPr>
        <w:pStyle w:val="Tekstpodstawowy"/>
        <w:kinsoku w:val="0"/>
        <w:overflowPunct w:val="0"/>
        <w:spacing w:before="180"/>
        <w:ind w:left="100"/>
        <w:rPr>
          <w:color w:val="333333"/>
          <w:lang w:val="en-US"/>
        </w:rPr>
      </w:pPr>
      <w:r w:rsidRPr="00E82678">
        <w:rPr>
          <w:color w:val="333333"/>
          <w:lang w:val="en-US"/>
        </w:rPr>
        <w:t xml:space="preserve">European Neuromuscular Centre website: </w:t>
      </w:r>
      <w:hyperlink r:id="rId14" w:history="1">
        <w:r w:rsidRPr="00E82678">
          <w:rPr>
            <w:color w:val="333333"/>
            <w:lang w:val="en-US"/>
          </w:rPr>
          <w:t>www.enmc.org</w:t>
        </w:r>
      </w:hyperlink>
    </w:p>
    <w:p w14:paraId="50BE7D28" w14:textId="77777777" w:rsidR="00F84085" w:rsidRDefault="00F84085" w:rsidP="00F84085">
      <w:pPr>
        <w:kinsoku w:val="0"/>
        <w:overflowPunct w:val="0"/>
        <w:spacing w:before="2" w:line="276" w:lineRule="auto"/>
        <w:ind w:right="239"/>
        <w:jc w:val="both"/>
        <w:rPr>
          <w:rFonts w:ascii="Times" w:hAnsi="Times"/>
          <w:lang w:val="en-US"/>
        </w:rPr>
      </w:pPr>
    </w:p>
    <w:p w14:paraId="4132669C" w14:textId="4597375A" w:rsidR="00E82678" w:rsidRPr="00F84085" w:rsidRDefault="00E82678" w:rsidP="00F84085">
      <w:pPr>
        <w:kinsoku w:val="0"/>
        <w:overflowPunct w:val="0"/>
        <w:spacing w:before="2" w:line="276" w:lineRule="auto"/>
        <w:ind w:right="239"/>
        <w:jc w:val="both"/>
        <w:rPr>
          <w:rFonts w:ascii="Times" w:hAnsi="Times"/>
          <w:b/>
          <w:sz w:val="22"/>
          <w:szCs w:val="22"/>
        </w:rPr>
      </w:pPr>
      <w:r w:rsidRPr="00F84085">
        <w:rPr>
          <w:rFonts w:ascii="Times" w:hAnsi="Times"/>
          <w:b/>
          <w:sz w:val="22"/>
          <w:szCs w:val="22"/>
        </w:rPr>
        <w:t>Autorzy:</w:t>
      </w:r>
    </w:p>
    <w:p w14:paraId="0D15C101" w14:textId="4EACA96C" w:rsidR="00012C3A" w:rsidRPr="00F84085" w:rsidRDefault="00F84085" w:rsidP="00F84085">
      <w:pPr>
        <w:kinsoku w:val="0"/>
        <w:overflowPunct w:val="0"/>
        <w:spacing w:before="2" w:line="276" w:lineRule="auto"/>
        <w:ind w:right="239"/>
        <w:jc w:val="both"/>
        <w:rPr>
          <w:rFonts w:ascii="Times" w:hAnsi="Times"/>
          <w:sz w:val="22"/>
          <w:szCs w:val="22"/>
        </w:rPr>
      </w:pPr>
      <w:r w:rsidRPr="00F84085">
        <w:rPr>
          <w:rFonts w:ascii="Times" w:hAnsi="Times"/>
          <w:sz w:val="22"/>
          <w:szCs w:val="22"/>
        </w:rPr>
        <w:t>Opracowane</w:t>
      </w:r>
      <w:r w:rsidR="00012C3A" w:rsidRPr="00F84085">
        <w:rPr>
          <w:rFonts w:ascii="Times" w:hAnsi="Times"/>
          <w:sz w:val="22"/>
          <w:szCs w:val="22"/>
        </w:rPr>
        <w:t xml:space="preserve"> przez: </w:t>
      </w:r>
    </w:p>
    <w:p w14:paraId="5636BDA2" w14:textId="77777777" w:rsidR="00012C3A" w:rsidRPr="00F84085" w:rsidRDefault="00012C3A" w:rsidP="00F84085">
      <w:pPr>
        <w:pStyle w:val="Tekstpodstawowy"/>
        <w:kinsoku w:val="0"/>
        <w:overflowPunct w:val="0"/>
        <w:spacing w:before="181"/>
        <w:ind w:left="0"/>
        <w:jc w:val="both"/>
        <w:rPr>
          <w:rFonts w:ascii="Times" w:hAnsi="Times"/>
        </w:rPr>
      </w:pPr>
      <w:r w:rsidRPr="00F84085">
        <w:rPr>
          <w:rFonts w:ascii="Times" w:hAnsi="Times"/>
        </w:rPr>
        <w:t>Maxwell S. Damian, PhD, FNCS, FEAN</w:t>
      </w:r>
    </w:p>
    <w:p w14:paraId="031B22AF" w14:textId="77777777" w:rsidR="00F84085" w:rsidRPr="00F84085" w:rsidRDefault="00F84085" w:rsidP="00F84085">
      <w:pPr>
        <w:kinsoku w:val="0"/>
        <w:overflowPunct w:val="0"/>
        <w:spacing w:before="2" w:line="276" w:lineRule="auto"/>
        <w:ind w:right="239"/>
        <w:jc w:val="both"/>
        <w:rPr>
          <w:rFonts w:ascii="Times" w:hAnsi="Times"/>
          <w:sz w:val="22"/>
          <w:szCs w:val="22"/>
        </w:rPr>
      </w:pPr>
    </w:p>
    <w:p w14:paraId="5902A9BE" w14:textId="5005174D" w:rsidR="00012C3A" w:rsidRPr="00F84085" w:rsidRDefault="00012C3A" w:rsidP="00F84085">
      <w:pPr>
        <w:kinsoku w:val="0"/>
        <w:overflowPunct w:val="0"/>
        <w:spacing w:before="2" w:line="276" w:lineRule="auto"/>
        <w:ind w:right="239"/>
        <w:jc w:val="both"/>
        <w:rPr>
          <w:rFonts w:ascii="Times" w:hAnsi="Times"/>
          <w:color w:val="000000"/>
          <w:sz w:val="22"/>
          <w:szCs w:val="22"/>
        </w:rPr>
      </w:pPr>
      <w:r w:rsidRPr="00F84085">
        <w:rPr>
          <w:rFonts w:ascii="Times" w:hAnsi="Times"/>
          <w:sz w:val="22"/>
          <w:szCs w:val="22"/>
        </w:rPr>
        <w:t>Członkowie Zarządu WMS (</w:t>
      </w:r>
      <w:hyperlink r:id="rId15" w:history="1">
        <w:r w:rsidRPr="00F84085">
          <w:rPr>
            <w:rStyle w:val="Hipercze"/>
            <w:rFonts w:ascii="Times" w:hAnsi="Times"/>
            <w:sz w:val="22"/>
            <w:szCs w:val="22"/>
          </w:rPr>
          <w:t>www.worldmusclesociety.org)</w:t>
        </w:r>
      </w:hyperlink>
      <w:r w:rsidRPr="00F84085">
        <w:rPr>
          <w:rFonts w:ascii="Times" w:hAnsi="Times"/>
          <w:color w:val="000000"/>
          <w:sz w:val="22"/>
          <w:szCs w:val="22"/>
        </w:rPr>
        <w:t xml:space="preserve"> we współpracy z członkami Zarządu Chorób Nerwowo-Mięśniowych, oficjalnego czasopisma WMS.</w:t>
      </w:r>
    </w:p>
    <w:p w14:paraId="7D63BC82" w14:textId="77777777" w:rsidR="00F84085" w:rsidRPr="00F84085" w:rsidRDefault="00F84085" w:rsidP="00F84085">
      <w:pPr>
        <w:kinsoku w:val="0"/>
        <w:overflowPunct w:val="0"/>
        <w:spacing w:before="2" w:line="276" w:lineRule="auto"/>
        <w:ind w:right="239"/>
        <w:jc w:val="both"/>
        <w:rPr>
          <w:rFonts w:ascii="Times" w:hAnsi="Times"/>
          <w:color w:val="000000"/>
          <w:sz w:val="22"/>
          <w:szCs w:val="22"/>
        </w:rPr>
      </w:pPr>
    </w:p>
    <w:p w14:paraId="4ED3F8D5" w14:textId="34FDDA86" w:rsidR="00012C3A" w:rsidRPr="00F84085" w:rsidRDefault="00012C3A" w:rsidP="00F84085">
      <w:pPr>
        <w:kinsoku w:val="0"/>
        <w:overflowPunct w:val="0"/>
        <w:spacing w:before="2" w:line="276" w:lineRule="auto"/>
        <w:ind w:right="239"/>
        <w:jc w:val="both"/>
        <w:rPr>
          <w:rFonts w:ascii="Times" w:hAnsi="Times"/>
          <w:sz w:val="22"/>
          <w:szCs w:val="22"/>
        </w:rPr>
      </w:pPr>
      <w:r w:rsidRPr="00F84085">
        <w:rPr>
          <w:rFonts w:ascii="Times" w:hAnsi="Times"/>
          <w:color w:val="000000"/>
          <w:sz w:val="22"/>
          <w:szCs w:val="22"/>
        </w:rPr>
        <w:t xml:space="preserve">28.03.2020. 16:00 </w:t>
      </w:r>
    </w:p>
    <w:sectPr w:rsidR="00012C3A" w:rsidRPr="00F84085" w:rsidSect="00DF2F4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65AA"/>
    <w:multiLevelType w:val="hybridMultilevel"/>
    <w:tmpl w:val="D0B665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1D716F"/>
    <w:multiLevelType w:val="hybridMultilevel"/>
    <w:tmpl w:val="0BD2D2D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4391DAA"/>
    <w:multiLevelType w:val="hybridMultilevel"/>
    <w:tmpl w:val="DEE0C0B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56E0948"/>
    <w:multiLevelType w:val="hybridMultilevel"/>
    <w:tmpl w:val="F8ECF94A"/>
    <w:lvl w:ilvl="0" w:tplc="480A3F8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0" w:hanging="360"/>
      </w:pPr>
    </w:lvl>
    <w:lvl w:ilvl="2" w:tplc="0415001B" w:tentative="1">
      <w:start w:val="1"/>
      <w:numFmt w:val="lowerRoman"/>
      <w:lvlText w:val="%3."/>
      <w:lvlJc w:val="right"/>
      <w:pPr>
        <w:ind w:left="1900" w:hanging="180"/>
      </w:pPr>
    </w:lvl>
    <w:lvl w:ilvl="3" w:tplc="0415000F" w:tentative="1">
      <w:start w:val="1"/>
      <w:numFmt w:val="decimal"/>
      <w:lvlText w:val="%4."/>
      <w:lvlJc w:val="left"/>
      <w:pPr>
        <w:ind w:left="2620" w:hanging="360"/>
      </w:pPr>
    </w:lvl>
    <w:lvl w:ilvl="4" w:tplc="04150019" w:tentative="1">
      <w:start w:val="1"/>
      <w:numFmt w:val="lowerLetter"/>
      <w:lvlText w:val="%5."/>
      <w:lvlJc w:val="left"/>
      <w:pPr>
        <w:ind w:left="3340" w:hanging="360"/>
      </w:pPr>
    </w:lvl>
    <w:lvl w:ilvl="5" w:tplc="0415001B" w:tentative="1">
      <w:start w:val="1"/>
      <w:numFmt w:val="lowerRoman"/>
      <w:lvlText w:val="%6."/>
      <w:lvlJc w:val="right"/>
      <w:pPr>
        <w:ind w:left="4060" w:hanging="180"/>
      </w:pPr>
    </w:lvl>
    <w:lvl w:ilvl="6" w:tplc="0415000F" w:tentative="1">
      <w:start w:val="1"/>
      <w:numFmt w:val="decimal"/>
      <w:lvlText w:val="%7."/>
      <w:lvlJc w:val="left"/>
      <w:pPr>
        <w:ind w:left="4780" w:hanging="360"/>
      </w:pPr>
    </w:lvl>
    <w:lvl w:ilvl="7" w:tplc="04150019" w:tentative="1">
      <w:start w:val="1"/>
      <w:numFmt w:val="lowerLetter"/>
      <w:lvlText w:val="%8."/>
      <w:lvlJc w:val="left"/>
      <w:pPr>
        <w:ind w:left="5500" w:hanging="360"/>
      </w:pPr>
    </w:lvl>
    <w:lvl w:ilvl="8" w:tplc="0415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5C660F56"/>
    <w:multiLevelType w:val="hybridMultilevel"/>
    <w:tmpl w:val="C98CB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7765D"/>
    <w:multiLevelType w:val="hybridMultilevel"/>
    <w:tmpl w:val="3C5261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BB105CB"/>
    <w:multiLevelType w:val="hybridMultilevel"/>
    <w:tmpl w:val="C37847E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D561A6C"/>
    <w:multiLevelType w:val="hybridMultilevel"/>
    <w:tmpl w:val="AC68B2D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B26"/>
    <w:rsid w:val="00012C3A"/>
    <w:rsid w:val="00056FFE"/>
    <w:rsid w:val="00095236"/>
    <w:rsid w:val="000971B0"/>
    <w:rsid w:val="000E5924"/>
    <w:rsid w:val="000F1ACF"/>
    <w:rsid w:val="00115B26"/>
    <w:rsid w:val="00124757"/>
    <w:rsid w:val="00136A43"/>
    <w:rsid w:val="00177913"/>
    <w:rsid w:val="00186A0A"/>
    <w:rsid w:val="0020686B"/>
    <w:rsid w:val="00255BB3"/>
    <w:rsid w:val="002569BC"/>
    <w:rsid w:val="00271E2C"/>
    <w:rsid w:val="00284B04"/>
    <w:rsid w:val="002878BD"/>
    <w:rsid w:val="002B2B02"/>
    <w:rsid w:val="002C5CDE"/>
    <w:rsid w:val="002C755B"/>
    <w:rsid w:val="002D05B2"/>
    <w:rsid w:val="003160B8"/>
    <w:rsid w:val="003279B1"/>
    <w:rsid w:val="00373E46"/>
    <w:rsid w:val="00374A21"/>
    <w:rsid w:val="004029CD"/>
    <w:rsid w:val="00454AEB"/>
    <w:rsid w:val="004732E6"/>
    <w:rsid w:val="004E2C77"/>
    <w:rsid w:val="004F7D19"/>
    <w:rsid w:val="00500DF7"/>
    <w:rsid w:val="00566C39"/>
    <w:rsid w:val="005738BD"/>
    <w:rsid w:val="005A3116"/>
    <w:rsid w:val="005B34F1"/>
    <w:rsid w:val="005C187C"/>
    <w:rsid w:val="00601B4C"/>
    <w:rsid w:val="00615CCB"/>
    <w:rsid w:val="00624F4A"/>
    <w:rsid w:val="0067177C"/>
    <w:rsid w:val="00685267"/>
    <w:rsid w:val="00685F6C"/>
    <w:rsid w:val="006A2A06"/>
    <w:rsid w:val="0071097B"/>
    <w:rsid w:val="00726605"/>
    <w:rsid w:val="00756ED2"/>
    <w:rsid w:val="00764640"/>
    <w:rsid w:val="00793D6D"/>
    <w:rsid w:val="007C1CD9"/>
    <w:rsid w:val="007C7C19"/>
    <w:rsid w:val="00814E62"/>
    <w:rsid w:val="008D35F4"/>
    <w:rsid w:val="008D79CC"/>
    <w:rsid w:val="008F6412"/>
    <w:rsid w:val="00944C25"/>
    <w:rsid w:val="00980C37"/>
    <w:rsid w:val="00981805"/>
    <w:rsid w:val="009840E9"/>
    <w:rsid w:val="00994025"/>
    <w:rsid w:val="0099742B"/>
    <w:rsid w:val="009A1DA3"/>
    <w:rsid w:val="009A65BA"/>
    <w:rsid w:val="009C4451"/>
    <w:rsid w:val="00A24894"/>
    <w:rsid w:val="00A90332"/>
    <w:rsid w:val="00B36495"/>
    <w:rsid w:val="00B37DC8"/>
    <w:rsid w:val="00B753D5"/>
    <w:rsid w:val="00B760FE"/>
    <w:rsid w:val="00BA23F5"/>
    <w:rsid w:val="00C143F7"/>
    <w:rsid w:val="00C16BCB"/>
    <w:rsid w:val="00C26EAD"/>
    <w:rsid w:val="00C42152"/>
    <w:rsid w:val="00CB036F"/>
    <w:rsid w:val="00CD78F0"/>
    <w:rsid w:val="00CE058D"/>
    <w:rsid w:val="00CE57C4"/>
    <w:rsid w:val="00D3036E"/>
    <w:rsid w:val="00D3054C"/>
    <w:rsid w:val="00D96B9F"/>
    <w:rsid w:val="00DA31D5"/>
    <w:rsid w:val="00DB7BA3"/>
    <w:rsid w:val="00DC4525"/>
    <w:rsid w:val="00DF2F45"/>
    <w:rsid w:val="00E2187B"/>
    <w:rsid w:val="00E302A3"/>
    <w:rsid w:val="00E5294F"/>
    <w:rsid w:val="00E5583B"/>
    <w:rsid w:val="00E62C7F"/>
    <w:rsid w:val="00E662E3"/>
    <w:rsid w:val="00E82678"/>
    <w:rsid w:val="00EB4C3B"/>
    <w:rsid w:val="00EC642C"/>
    <w:rsid w:val="00ED6EF8"/>
    <w:rsid w:val="00EF0E0F"/>
    <w:rsid w:val="00EF33BD"/>
    <w:rsid w:val="00EF4C23"/>
    <w:rsid w:val="00F1062A"/>
    <w:rsid w:val="00F52747"/>
    <w:rsid w:val="00F84085"/>
    <w:rsid w:val="00FC0306"/>
    <w:rsid w:val="00FC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2CC4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BA23F5"/>
    <w:pPr>
      <w:widowControl w:val="0"/>
      <w:autoSpaceDE w:val="0"/>
      <w:autoSpaceDN w:val="0"/>
      <w:adjustRightInd w:val="0"/>
      <w:ind w:left="820"/>
    </w:pPr>
    <w:rPr>
      <w:rFonts w:ascii="Times New Roman" w:eastAsiaTheme="minorEastAsia" w:hAnsi="Times New Roman" w:cs="Times New Roman"/>
      <w:sz w:val="22"/>
      <w:szCs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A23F5"/>
    <w:rPr>
      <w:rFonts w:ascii="Times New Roman" w:eastAsiaTheme="minorEastAsia" w:hAnsi="Times New Roman" w:cs="Times New Roman"/>
      <w:sz w:val="22"/>
      <w:szCs w:val="22"/>
      <w:lang w:eastAsia="pl-PL"/>
    </w:rPr>
  </w:style>
  <w:style w:type="paragraph" w:styleId="Akapitzlist">
    <w:name w:val="List Paragraph"/>
    <w:basedOn w:val="Normalny"/>
    <w:uiPriority w:val="34"/>
    <w:qFormat/>
    <w:rsid w:val="004732E6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E2C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E2C77"/>
    <w:rPr>
      <w:rFonts w:ascii="Courier New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12C3A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3116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311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311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3116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311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A3116"/>
  </w:style>
  <w:style w:type="paragraph" w:styleId="Tekstdymka">
    <w:name w:val="Balloon Text"/>
    <w:basedOn w:val="Normalny"/>
    <w:link w:val="TekstdymkaZnak"/>
    <w:uiPriority w:val="99"/>
    <w:semiHidden/>
    <w:unhideWhenUsed/>
    <w:rsid w:val="005A3116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116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DKEeRV8alA&amp;feature=youtu.be" TargetMode="External"/><Relationship Id="rId13" Type="http://schemas.openxmlformats.org/officeDocument/2006/relationships/hyperlink" Target="https://ern-euro-nmd.e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uromuscularnetwork.ca/news/covid-19-and-neuromuscular-patients-la-covid-19-et-les-patients-neuromusculaires/" TargetMode="External"/><Relationship Id="rId12" Type="http://schemas.openxmlformats.org/officeDocument/2006/relationships/hyperlink" Target="https://www.gov.uk/government/publications/guidance-on-shielding-and-protecting-extremely-vulnerable-persons-from-covid-19/guidance-on-shielding-and-protecting-extremely-vulnerable-persons-from-covid-1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neuromuscularnetwork.ca/news/covid-19-and-neuromuscular-patients-la-covid-19-et-les-patients-neuromusculaires/" TargetMode="External"/><Relationship Id="rId11" Type="http://schemas.openxmlformats.org/officeDocument/2006/relationships/hyperlink" Target="https://www.gov.uk/government/publications/guidance-on-shielding-and-protecting-extremely-vulnerable-persons-from-covid-19/guidance-on-shielding-and-protecting-extremely-vulnerable-persons-from-covid-19" TargetMode="External"/><Relationship Id="rId5" Type="http://schemas.openxmlformats.org/officeDocument/2006/relationships/hyperlink" Target="https://www.theabn.org/page/COVID-19" TargetMode="External"/><Relationship Id="rId15" Type="http://schemas.openxmlformats.org/officeDocument/2006/relationships/hyperlink" Target="http://www.worldmusclesociety.org)" TargetMode="External"/><Relationship Id="rId10" Type="http://schemas.openxmlformats.org/officeDocument/2006/relationships/hyperlink" Target="https://www.gov.uk/government/publications/guidance-on-shielding-and-protecting-extremely-vulnerable-persons-from-covid-19/guidance-on-shielding-and-protecting-extremely-vulnerable-persons-from-covid-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amda.eu/2020/03/19/coronavirus-covid-19-information-for-people-with-nmd/" TargetMode="External"/><Relationship Id="rId14" Type="http://schemas.openxmlformats.org/officeDocument/2006/relationships/hyperlink" Target="http://www.enmc.org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1824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Sobieszczuk</dc:creator>
  <cp:keywords/>
  <dc:description/>
  <cp:lastModifiedBy>Anna Kostera-Pruszczyk</cp:lastModifiedBy>
  <cp:revision>18</cp:revision>
  <dcterms:created xsi:type="dcterms:W3CDTF">2020-04-02T16:33:00Z</dcterms:created>
  <dcterms:modified xsi:type="dcterms:W3CDTF">2020-04-02T17:01:00Z</dcterms:modified>
</cp:coreProperties>
</file>